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24C5" w14:textId="77777777" w:rsidR="00FF461C" w:rsidRDefault="00000000">
      <w:pPr>
        <w:spacing w:before="180" w:after="40"/>
        <w:jc w:val="center"/>
      </w:pPr>
      <w:r>
        <w:rPr>
          <w:b/>
          <w:bCs/>
          <w:caps/>
          <w:color w:val="1B3A5C"/>
          <w:sz w:val="50"/>
          <w:szCs w:val="50"/>
        </w:rPr>
        <w:t>ADHD &amp; THE WORKPLACE</w:t>
      </w:r>
    </w:p>
    <w:p w14:paraId="67CC7E6B" w14:textId="77777777" w:rsidR="00FF461C" w:rsidRDefault="00000000">
      <w:pPr>
        <w:spacing w:after="60"/>
        <w:jc w:val="center"/>
      </w:pPr>
      <w:r>
        <w:rPr>
          <w:i/>
          <w:iCs/>
          <w:color w:val="2E8B7A"/>
          <w:sz w:val="22"/>
          <w:szCs w:val="22"/>
        </w:rPr>
        <w:t>Strengths, executive function challenges, accommodations, and building an inclusive culture</w:t>
      </w:r>
    </w:p>
    <w:p w14:paraId="2B1ABB72" w14:textId="77777777" w:rsidR="00FF461C" w:rsidRDefault="00FF461C">
      <w:pPr>
        <w:pBdr>
          <w:bottom w:val="single" w:sz="8" w:space="1" w:color="C8952A"/>
        </w:pBdr>
        <w:spacing w:before="100" w:after="100"/>
      </w:pPr>
    </w:p>
    <w:p w14:paraId="3B95BF75" w14:textId="77777777" w:rsidR="00FF461C" w:rsidRDefault="00000000">
      <w:pPr>
        <w:spacing w:before="220" w:after="80"/>
      </w:pPr>
      <w:r>
        <w:rPr>
          <w:b/>
          <w:bCs/>
          <w:caps/>
          <w:color w:val="1B3A5C"/>
          <w:spacing w:val="40"/>
          <w:sz w:val="24"/>
          <w:szCs w:val="24"/>
        </w:rPr>
        <w:t>Overview</w:t>
      </w:r>
    </w:p>
    <w:p w14:paraId="7ADECA6F" w14:textId="77777777" w:rsidR="00FF461C" w:rsidRDefault="00000000">
      <w:pPr>
        <w:spacing w:before="60" w:after="60"/>
      </w:pPr>
      <w:r>
        <w:t xml:space="preserve">Approximately 15.5 million U.S. adults — 6% of the adult population — have a current ADHD diagnosis (Staley et al., CDC, 2023). A significant portion of them </w:t>
      </w:r>
      <w:proofErr w:type="gramStart"/>
      <w:r>
        <w:t>are</w:t>
      </w:r>
      <w:proofErr w:type="gramEnd"/>
      <w:r>
        <w:t xml:space="preserve"> in the workforce, navigating workplaces that were designed around neurotypical patterns of attention, time management, and communication. The result is a population that is frequently underperforming relative to their actual capacity — not because of a lack of intelligence, skill, or work ethic, but because the systems around them do not fit the way their brains work.</w:t>
      </w:r>
    </w:p>
    <w:p w14:paraId="500909D9" w14:textId="77777777" w:rsidR="00FF461C" w:rsidRDefault="00000000">
      <w:pPr>
        <w:spacing w:before="60" w:after="60"/>
      </w:pPr>
      <w:r>
        <w:t>This fact sheet is written for employees with ADHD and for the employers, managers, colleagues, and communities who work alongside them. ADHD in the workplace is not simply a problem to manage. It is also a set of genuine strengths to recognize — and a call to build environments where more kinds of minds can contribute fully.</w:t>
      </w:r>
    </w:p>
    <w:p w14:paraId="05CB9789" w14:textId="77777777" w:rsidR="00FF461C" w:rsidRDefault="00FF461C">
      <w:pPr>
        <w:pBdr>
          <w:bottom w:val="single" w:sz="8" w:space="1" w:color="2E8B7A"/>
        </w:pBdr>
        <w:spacing w:before="100" w:after="100"/>
      </w:pPr>
    </w:p>
    <w:p w14:paraId="6E81241B" w14:textId="77777777" w:rsidR="00FF461C" w:rsidRDefault="00000000">
      <w:pPr>
        <w:spacing w:before="220" w:after="80"/>
      </w:pPr>
      <w:r>
        <w:rPr>
          <w:b/>
          <w:bCs/>
          <w:caps/>
          <w:color w:val="1B3A5C"/>
          <w:spacing w:val="40"/>
          <w:sz w:val="24"/>
          <w:szCs w:val="24"/>
        </w:rPr>
        <w:t>ADHD Strengths in the Workplace</w:t>
      </w:r>
    </w:p>
    <w:p w14:paraId="6B5308A2" w14:textId="77777777" w:rsidR="00FF461C" w:rsidRDefault="00000000">
      <w:pPr>
        <w:spacing w:before="60" w:after="60"/>
      </w:pPr>
      <w:r>
        <w:t>A growing body of research identifies a consistent set of strengths associated with ADHD that are highly valuable in professional environments — particularly in roles requiring creativity, innovation, crisis response, and entrepreneurial thinking (Hotte-Meunier et al., 2024; Crook &amp; McDowall, Journal of Work-Applied Management, 2024).</w:t>
      </w:r>
    </w:p>
    <w:p w14:paraId="6B7F0D2F" w14:textId="77777777" w:rsidR="00FF461C" w:rsidRDefault="00000000">
      <w:pPr>
        <w:spacing w:before="60" w:after="60"/>
      </w:pPr>
      <w:r>
        <w:t>Adults with ADHD who recognize and actively use their strengths report better overall wellbeing, higher quality of life, and fewer mental health challenges (Hargitai et al., Psychological Medicine, 2024). Identifying and leveraging strengths is not a workaround — it is evidence-based practice.</w:t>
      </w:r>
    </w:p>
    <w:p w14:paraId="0429B84B" w14:textId="77777777" w:rsidR="00FF461C" w:rsidRDefault="00000000">
      <w:pPr>
        <w:spacing w:before="100" w:after="60"/>
      </w:pPr>
      <w:r>
        <w:rPr>
          <w:b/>
          <w:bCs/>
          <w:color w:val="1B3A5C"/>
        </w:rPr>
        <w:t>Documented ADHD-associated workplace strengths include:</w:t>
      </w:r>
    </w:p>
    <w:p w14:paraId="4F8FBE3B" w14:textId="77777777" w:rsidR="00FF461C" w:rsidRDefault="00000000">
      <w:pPr>
        <w:spacing w:before="80" w:after="60"/>
      </w:pPr>
      <w:r>
        <w:rPr>
          <w:b/>
          <w:bCs/>
          <w:color w:val="C8952A"/>
          <w:sz w:val="22"/>
          <w:szCs w:val="22"/>
        </w:rPr>
        <w:t xml:space="preserve">✦ </w:t>
      </w:r>
      <w:r>
        <w:rPr>
          <w:b/>
          <w:bCs/>
          <w:color w:val="1B3A5C"/>
        </w:rPr>
        <w:t xml:space="preserve">Creativity and divergent thinking: </w:t>
      </w:r>
      <w:r>
        <w:t>Individuals with ADHD are associated with higher rates of divergent thinking — the ability to generate multiple novel ideas from a single starting point. Research links ADHD traits with creative achievement across artistic, entrepreneurial, and problem-solving domains (</w:t>
      </w:r>
      <w:proofErr w:type="spellStart"/>
      <w:r>
        <w:t>Hoogman</w:t>
      </w:r>
      <w:proofErr w:type="spellEnd"/>
      <w:r>
        <w:t xml:space="preserve"> et al., Neuroscience &amp; Biobehavioral Reviews, 2020).</w:t>
      </w:r>
    </w:p>
    <w:p w14:paraId="5881C4FC" w14:textId="77777777" w:rsidR="00FF461C" w:rsidRDefault="00000000">
      <w:pPr>
        <w:spacing w:before="80" w:after="60"/>
      </w:pPr>
      <w:r>
        <w:rPr>
          <w:b/>
          <w:bCs/>
          <w:color w:val="C8952A"/>
          <w:sz w:val="22"/>
          <w:szCs w:val="22"/>
        </w:rPr>
        <w:t xml:space="preserve">✦ </w:t>
      </w:r>
      <w:r>
        <w:rPr>
          <w:b/>
          <w:bCs/>
          <w:color w:val="1B3A5C"/>
        </w:rPr>
        <w:t xml:space="preserve">Hyperfocus: </w:t>
      </w:r>
      <w:r>
        <w:t>When deeply engaged in work that is meaningful or interesting, many individuals with ADHD can enter states of sustained, intense concentration that produce high-quality output. Hyperfocus is more frequently reported in ADHD populations than in neurotypical peers and can be a powerful asset when channeled appropriately (Hupfeld et al., 2024).</w:t>
      </w:r>
    </w:p>
    <w:p w14:paraId="056ED270" w14:textId="77777777" w:rsidR="00FF461C" w:rsidRDefault="00000000">
      <w:pPr>
        <w:spacing w:before="80" w:after="60"/>
      </w:pPr>
      <w:r>
        <w:rPr>
          <w:b/>
          <w:bCs/>
          <w:color w:val="C8952A"/>
          <w:sz w:val="22"/>
          <w:szCs w:val="22"/>
        </w:rPr>
        <w:t xml:space="preserve">✦ </w:t>
      </w:r>
      <w:r>
        <w:rPr>
          <w:b/>
          <w:bCs/>
          <w:color w:val="1B3A5C"/>
        </w:rPr>
        <w:t xml:space="preserve">Nonlinear and integrative thinking: </w:t>
      </w:r>
      <w:r>
        <w:t>The ADHD brain tends to make connections across disparate fields and domains, generating hypotheses and solutions that linear thinkers may not reach. This cross-domain thinking is documented as a workplace strength, particularly in innovation-driven environments (Hotte-Meunier et al., 2024).</w:t>
      </w:r>
    </w:p>
    <w:p w14:paraId="078BD2D4" w14:textId="77777777" w:rsidR="00FF461C" w:rsidRDefault="00000000">
      <w:pPr>
        <w:spacing w:before="80" w:after="60"/>
      </w:pPr>
      <w:r>
        <w:rPr>
          <w:b/>
          <w:bCs/>
          <w:color w:val="C8952A"/>
          <w:sz w:val="22"/>
          <w:szCs w:val="22"/>
        </w:rPr>
        <w:t xml:space="preserve">✦ </w:t>
      </w:r>
      <w:r>
        <w:rPr>
          <w:b/>
          <w:bCs/>
          <w:color w:val="1B3A5C"/>
        </w:rPr>
        <w:t xml:space="preserve">Crisis agility and adaptability: </w:t>
      </w:r>
      <w:r>
        <w:t>In fast-moving, high-pressure environments, the quick processing and flexible attention of the ADHD brain can be a genuine advantage — enabling rapid, creative decision-making that can be slower for more rigid cognitive styles (World Economic Forum, 2024).</w:t>
      </w:r>
    </w:p>
    <w:p w14:paraId="1A23D514" w14:textId="77777777" w:rsidR="00FF461C" w:rsidRDefault="00000000">
      <w:pPr>
        <w:spacing w:before="80" w:after="60"/>
      </w:pPr>
      <w:r>
        <w:rPr>
          <w:b/>
          <w:bCs/>
          <w:color w:val="C8952A"/>
          <w:sz w:val="22"/>
          <w:szCs w:val="22"/>
        </w:rPr>
        <w:t xml:space="preserve">✦ </w:t>
      </w:r>
      <w:r>
        <w:rPr>
          <w:b/>
          <w:bCs/>
          <w:color w:val="1B3A5C"/>
        </w:rPr>
        <w:t xml:space="preserve">Enthusiasm and energy: </w:t>
      </w:r>
      <w:r>
        <w:t>Many individuals with ADHD bring high energy, passion, and infectious enthusiasm to projects they care about — qualities that drive team morale and sustained effort in dynamic environments.</w:t>
      </w:r>
    </w:p>
    <w:p w14:paraId="6BB20D5F" w14:textId="77777777" w:rsidR="00FF461C" w:rsidRDefault="00000000">
      <w:pPr>
        <w:spacing w:before="80" w:after="60"/>
      </w:pPr>
      <w:r>
        <w:rPr>
          <w:b/>
          <w:bCs/>
          <w:color w:val="C8952A"/>
          <w:sz w:val="22"/>
          <w:szCs w:val="22"/>
        </w:rPr>
        <w:t xml:space="preserve">✦ </w:t>
      </w:r>
      <w:r>
        <w:rPr>
          <w:b/>
          <w:bCs/>
          <w:color w:val="1B3A5C"/>
        </w:rPr>
        <w:t xml:space="preserve">Resilience and determination: </w:t>
      </w:r>
      <w:r>
        <w:t>Having navigated a world that was not built for their brain, many adults with ADHD develop significant resilience, adaptability, and determination. These traits translate directly into persistence in the face of professional obstacles (Hotte-Meunier et al., 2024).</w:t>
      </w:r>
    </w:p>
    <w:p w14:paraId="28B7DCB1" w14:textId="77777777" w:rsidR="00FF461C" w:rsidRDefault="00000000">
      <w:pPr>
        <w:spacing w:before="80" w:after="60"/>
      </w:pPr>
      <w:r>
        <w:rPr>
          <w:b/>
          <w:bCs/>
          <w:color w:val="C8952A"/>
          <w:sz w:val="22"/>
          <w:szCs w:val="22"/>
        </w:rPr>
        <w:t xml:space="preserve">✦ </w:t>
      </w:r>
      <w:r>
        <w:rPr>
          <w:b/>
          <w:bCs/>
          <w:color w:val="1B3A5C"/>
        </w:rPr>
        <w:t xml:space="preserve">Empathy and emotional intelligence: </w:t>
      </w:r>
      <w:r>
        <w:t>Quantitative research documents a correlation between ADHD traits and higher empathy scores — a strength particularly relevant in roles involving collaboration, client relationships, leadership, and team dynamics (Schippers et al., 2022; ScienceDirect, 2024).</w:t>
      </w:r>
    </w:p>
    <w:p w14:paraId="309A2A6C" w14:textId="77777777" w:rsidR="00FF461C" w:rsidRDefault="00000000">
      <w:pPr>
        <w:pBdr>
          <w:left w:val="single" w:sz="18" w:space="10" w:color="2E8B7A"/>
        </w:pBdr>
        <w:spacing w:before="80" w:after="100"/>
        <w:ind w:left="280"/>
      </w:pPr>
      <w:r>
        <w:rPr>
          <w:b/>
          <w:bCs/>
          <w:color w:val="2E8B7A"/>
        </w:rPr>
        <w:lastRenderedPageBreak/>
        <w:t xml:space="preserve">A note on strengths: </w:t>
      </w:r>
      <w:r>
        <w:t>The same traits that create workplace challenges can also be the source of exceptional contribution when the right conditions are in place. ADHD is not a deficit disguised as a strength — nor is it a strength that requires no accommodation. It is both, simultaneously, depending on the context.</w:t>
      </w:r>
    </w:p>
    <w:p w14:paraId="255A4CF3" w14:textId="77777777" w:rsidR="00FF461C" w:rsidRDefault="00FF461C">
      <w:pPr>
        <w:pBdr>
          <w:bottom w:val="single" w:sz="8" w:space="1" w:color="2E8B7A"/>
        </w:pBdr>
        <w:spacing w:before="100" w:after="100"/>
      </w:pPr>
    </w:p>
    <w:p w14:paraId="1446C658" w14:textId="77777777" w:rsidR="00FF461C" w:rsidRDefault="00000000">
      <w:pPr>
        <w:spacing w:before="220" w:after="80"/>
      </w:pPr>
      <w:r>
        <w:rPr>
          <w:b/>
          <w:bCs/>
          <w:caps/>
          <w:color w:val="1B3A5C"/>
          <w:spacing w:val="40"/>
          <w:sz w:val="24"/>
          <w:szCs w:val="24"/>
        </w:rPr>
        <w:t>Executive Dysfunction: Where ADHD Creates Workplace Challenges</w:t>
      </w:r>
    </w:p>
    <w:p w14:paraId="7A33DD0E" w14:textId="77777777" w:rsidR="00FF461C" w:rsidRDefault="00000000">
      <w:pPr>
        <w:spacing w:before="60" w:after="60"/>
      </w:pPr>
      <w:r>
        <w:t>Executive functioning refers to the set of cognitive skills that govern planning, organization, time management, working memory, emotional regulation, and task initiation. These are the skills that allow a person to start a task, sustain effort through it, shift attention when needed, and bring it to completion. In ADHD, these processes are neurologically impaired — not as a matter of willpower or attitude, but as a measurable, documented feature of the condition.</w:t>
      </w:r>
    </w:p>
    <w:p w14:paraId="32B4600B" w14:textId="77777777" w:rsidR="00FF461C" w:rsidRDefault="00000000">
      <w:pPr>
        <w:spacing w:before="60" w:after="60"/>
      </w:pPr>
      <w:r>
        <w:t>Executive function deficits are the primary mediating factor between ADHD and job burnout. A 2024 peer-reviewed study found that deficits specifically in self-management of time and self-organization/problem-solving drove the ADHD-to-burnout pathway in employees (Turjeman-Levi &amp; Itzchakov, AIMS Public Health, 2024).</w:t>
      </w:r>
    </w:p>
    <w:p w14:paraId="4CD54682" w14:textId="77777777" w:rsidR="00FF461C" w:rsidRDefault="00000000">
      <w:pPr>
        <w:spacing w:before="100" w:after="60"/>
      </w:pPr>
      <w:r>
        <w:rPr>
          <w:b/>
          <w:bCs/>
          <w:color w:val="1B3A5C"/>
        </w:rPr>
        <w:t>Common areas of executive dysfunction in the workplace:</w:t>
      </w:r>
    </w:p>
    <w:p w14:paraId="2CFED221" w14:textId="77777777" w:rsidR="00FF461C" w:rsidRDefault="00000000">
      <w:pPr>
        <w:pStyle w:val="ListParagraph"/>
        <w:numPr>
          <w:ilvl w:val="0"/>
          <w:numId w:val="2"/>
        </w:numPr>
        <w:spacing w:before="60" w:after="60"/>
      </w:pPr>
      <w:r>
        <w:rPr>
          <w:b/>
          <w:bCs/>
          <w:color w:val="1B3A5C"/>
        </w:rPr>
        <w:t xml:space="preserve">Task initiation: </w:t>
      </w:r>
      <w:r>
        <w:t>Starting tasks — even ones the person wants to complete — can be neurologically difficult. This is frequently misread as procrastination, laziness, or disengagement. It is a documented feature of the ADHD brain's impaired activation system.</w:t>
      </w:r>
    </w:p>
    <w:p w14:paraId="46CFFADA" w14:textId="77777777" w:rsidR="00FF461C" w:rsidRDefault="00000000">
      <w:pPr>
        <w:pStyle w:val="ListParagraph"/>
        <w:numPr>
          <w:ilvl w:val="0"/>
          <w:numId w:val="2"/>
        </w:numPr>
        <w:spacing w:before="60" w:after="60"/>
      </w:pPr>
      <w:r>
        <w:rPr>
          <w:b/>
          <w:bCs/>
          <w:color w:val="1B3A5C"/>
        </w:rPr>
        <w:t xml:space="preserve">Time management and time blindness: </w:t>
      </w:r>
      <w:r>
        <w:t>Many individuals with ADHD experience time in two tenses: now and not now. Future deadlines do not carry the same urgency they do for neurotypical brains until the deadline is imminent — creating patterns of late delivery that appear careless but are neurological in origin.</w:t>
      </w:r>
    </w:p>
    <w:p w14:paraId="33D7663F" w14:textId="77777777" w:rsidR="00FF461C" w:rsidRDefault="00000000">
      <w:pPr>
        <w:pStyle w:val="ListParagraph"/>
        <w:numPr>
          <w:ilvl w:val="0"/>
          <w:numId w:val="2"/>
        </w:numPr>
        <w:spacing w:before="60" w:after="60"/>
      </w:pPr>
      <w:r>
        <w:rPr>
          <w:b/>
          <w:bCs/>
          <w:color w:val="1B3A5C"/>
        </w:rPr>
        <w:t xml:space="preserve">Working memory: </w:t>
      </w:r>
      <w:r>
        <w:t>Holding multiple pieces of information in mind while completing a task is impaired in ADHD. Instructions given verbally may not be retained; priorities communicated in passing may not be encoded. This is not inattentiveness to what matters — it is a structural memory limitation.</w:t>
      </w:r>
    </w:p>
    <w:p w14:paraId="697A4BB0" w14:textId="77777777" w:rsidR="00FF461C" w:rsidRDefault="00000000">
      <w:pPr>
        <w:pStyle w:val="ListParagraph"/>
        <w:numPr>
          <w:ilvl w:val="0"/>
          <w:numId w:val="2"/>
        </w:numPr>
        <w:spacing w:before="60" w:after="60"/>
      </w:pPr>
      <w:r>
        <w:rPr>
          <w:b/>
          <w:bCs/>
          <w:color w:val="1B3A5C"/>
        </w:rPr>
        <w:t xml:space="preserve">Organization and prioritization: </w:t>
      </w:r>
      <w:r>
        <w:t>Establishing and maintaining physical and mental order — tracking deadlines, organizing files, sequencing steps in a project — is cognitively demanding for the ADHD brain in ways that can appear extreme relative to the actual complexity of the task.</w:t>
      </w:r>
    </w:p>
    <w:p w14:paraId="13B67FBF" w14:textId="77777777" w:rsidR="00FF461C" w:rsidRDefault="00000000">
      <w:pPr>
        <w:pStyle w:val="ListParagraph"/>
        <w:numPr>
          <w:ilvl w:val="0"/>
          <w:numId w:val="2"/>
        </w:numPr>
        <w:spacing w:before="60" w:after="60"/>
      </w:pPr>
      <w:r>
        <w:rPr>
          <w:b/>
          <w:bCs/>
          <w:color w:val="1B3A5C"/>
        </w:rPr>
        <w:t xml:space="preserve">Sustained attention on low-interest tasks: </w:t>
      </w:r>
      <w:r>
        <w:t>The ADHD brain is interest-driven rather than importance-driven. Tasks that are repetitive, low-stimulation, or perceived as irrelevant to meaningful goals can become nearly impossible to sustain attention on, regardless of consequences.</w:t>
      </w:r>
    </w:p>
    <w:p w14:paraId="5B4F8FF0" w14:textId="77777777" w:rsidR="00FF461C" w:rsidRDefault="00000000">
      <w:pPr>
        <w:pStyle w:val="ListParagraph"/>
        <w:numPr>
          <w:ilvl w:val="0"/>
          <w:numId w:val="2"/>
        </w:numPr>
        <w:spacing w:before="60" w:after="60"/>
      </w:pPr>
      <w:r>
        <w:rPr>
          <w:b/>
          <w:bCs/>
          <w:color w:val="1B3A5C"/>
        </w:rPr>
        <w:t xml:space="preserve">Emotional regulation at work: </w:t>
      </w:r>
      <w:r>
        <w:t>Frustration, overwhelm, and rejection sensitivity can be more intense and more visible in employees with ADHD, particularly in environments with high criticism, unclear expectations, or rigid structures. These responses are neurological, not temperamental.</w:t>
      </w:r>
    </w:p>
    <w:p w14:paraId="1651C3F4" w14:textId="77777777" w:rsidR="00FF461C" w:rsidRDefault="00000000">
      <w:pPr>
        <w:pStyle w:val="ListParagraph"/>
        <w:numPr>
          <w:ilvl w:val="0"/>
          <w:numId w:val="2"/>
        </w:numPr>
        <w:spacing w:before="60" w:after="60"/>
      </w:pPr>
      <w:r>
        <w:rPr>
          <w:b/>
          <w:bCs/>
          <w:color w:val="1B3A5C"/>
        </w:rPr>
        <w:t xml:space="preserve">Transition and task-switching: </w:t>
      </w:r>
      <w:r>
        <w:t xml:space="preserve">While some individuals with ADHD shift rapidly between tasks, others struggle significantly with transitions — particularly stopping </w:t>
      </w:r>
      <w:proofErr w:type="spellStart"/>
      <w:r>
        <w:t>hyperfocused</w:t>
      </w:r>
      <w:proofErr w:type="spellEnd"/>
      <w:r>
        <w:t xml:space="preserve"> work to attend to something </w:t>
      </w:r>
      <w:proofErr w:type="gramStart"/>
      <w:r>
        <w:t>else, or</w:t>
      </w:r>
      <w:proofErr w:type="gramEnd"/>
      <w:r>
        <w:t xml:space="preserve"> re-engaging with a task after an interruption.</w:t>
      </w:r>
    </w:p>
    <w:p w14:paraId="59D73258" w14:textId="77777777" w:rsidR="00FF461C" w:rsidRDefault="00000000">
      <w:pPr>
        <w:pStyle w:val="ListParagraph"/>
        <w:numPr>
          <w:ilvl w:val="0"/>
          <w:numId w:val="2"/>
        </w:numPr>
        <w:spacing w:before="60" w:after="60"/>
      </w:pPr>
      <w:r>
        <w:rPr>
          <w:b/>
          <w:bCs/>
          <w:color w:val="1B3A5C"/>
        </w:rPr>
        <w:t xml:space="preserve">Communication and meetings: </w:t>
      </w:r>
      <w:r>
        <w:t>Following complex verbal instructions, tracking multi-speaker conversations, or contributing at the right moment in meetings can be particularly challenging. This can create a misleading impression of disengagement or incomprehension.</w:t>
      </w:r>
    </w:p>
    <w:p w14:paraId="2FB3377B" w14:textId="77777777" w:rsidR="00FF461C" w:rsidRDefault="00000000">
      <w:pPr>
        <w:pBdr>
          <w:left w:val="single" w:sz="18" w:space="10" w:color="C8952A"/>
        </w:pBdr>
        <w:spacing w:before="80" w:after="100"/>
        <w:ind w:left="280"/>
      </w:pPr>
      <w:r>
        <w:rPr>
          <w:b/>
          <w:bCs/>
          <w:color w:val="1B3A5C"/>
        </w:rPr>
        <w:t xml:space="preserve">What this looks like from the outside: </w:t>
      </w:r>
      <w:r>
        <w:t>Lateness, missed deadlines, disorganization, and inconsistent performance are the most common ways ADHD-related executive dysfunction becomes visible at work. Without a framework for understanding these patterns as neurological rather than motivational, they are almost universally misattributed to attitude, character, or lack of effort.</w:t>
      </w:r>
    </w:p>
    <w:p w14:paraId="0964378A" w14:textId="77777777" w:rsidR="00FF461C" w:rsidRDefault="00FF461C">
      <w:pPr>
        <w:pBdr>
          <w:bottom w:val="single" w:sz="8" w:space="1" w:color="2E8B7A"/>
        </w:pBdr>
        <w:spacing w:before="100" w:after="100"/>
      </w:pPr>
    </w:p>
    <w:p w14:paraId="64B3520B" w14:textId="77777777" w:rsidR="00FF461C" w:rsidRDefault="00000000">
      <w:pPr>
        <w:spacing w:before="220" w:after="80"/>
      </w:pPr>
      <w:r>
        <w:rPr>
          <w:b/>
          <w:bCs/>
          <w:caps/>
          <w:color w:val="1B3A5C"/>
          <w:spacing w:val="40"/>
          <w:sz w:val="24"/>
          <w:szCs w:val="24"/>
        </w:rPr>
        <w:t>The Legal Framework: ADA &amp; Reasonable Accommodations</w:t>
      </w:r>
    </w:p>
    <w:p w14:paraId="4E5F5094" w14:textId="77777777" w:rsidR="00FF461C" w:rsidRDefault="00000000">
      <w:pPr>
        <w:spacing w:before="60" w:after="60"/>
      </w:pPr>
      <w:r>
        <w:t>ADHD is recognized as a disability under the Americans with Disabilities Act (ADA) of 1990 and the ADA Amendments Act (ADAAA) of 2008, when it substantially limits one or more major life activities. The ADA broadly defines major life activities to include concentrating, thinking, learning, communicating, and working — all of which are directly affected by ADHD.</w:t>
      </w:r>
    </w:p>
    <w:p w14:paraId="39A31CC7" w14:textId="77777777" w:rsidR="00FF461C" w:rsidRDefault="00000000">
      <w:pPr>
        <w:spacing w:before="140" w:after="60"/>
      </w:pPr>
      <w:r>
        <w:rPr>
          <w:b/>
          <w:bCs/>
          <w:color w:val="1B3A5C"/>
          <w:sz w:val="22"/>
          <w:szCs w:val="22"/>
        </w:rPr>
        <w:lastRenderedPageBreak/>
        <w:t>Who Is Covered</w:t>
      </w:r>
    </w:p>
    <w:p w14:paraId="4193BE0F" w14:textId="77777777" w:rsidR="00FF461C" w:rsidRDefault="00000000">
      <w:pPr>
        <w:pStyle w:val="ListParagraph"/>
        <w:numPr>
          <w:ilvl w:val="0"/>
          <w:numId w:val="2"/>
        </w:numPr>
        <w:spacing w:before="60" w:after="60"/>
      </w:pPr>
      <w:r>
        <w:t>The ADA applies to private employers with 15 or more employees, all state and local government employers, and most public and private educational institutions.</w:t>
      </w:r>
    </w:p>
    <w:p w14:paraId="5BEF0F07" w14:textId="77777777" w:rsidR="00FF461C" w:rsidRDefault="00000000">
      <w:pPr>
        <w:pStyle w:val="ListParagraph"/>
        <w:numPr>
          <w:ilvl w:val="0"/>
          <w:numId w:val="2"/>
        </w:numPr>
        <w:spacing w:before="60" w:after="60"/>
      </w:pPr>
      <w:r>
        <w:t>Federal employees and employees of federal contractors are covered under the Rehabilitation Act of 1973, which provides equivalent protections.</w:t>
      </w:r>
    </w:p>
    <w:p w14:paraId="7D20679D" w14:textId="77777777" w:rsidR="00FF461C" w:rsidRDefault="00000000">
      <w:pPr>
        <w:pStyle w:val="ListParagraph"/>
        <w:numPr>
          <w:ilvl w:val="0"/>
          <w:numId w:val="2"/>
        </w:numPr>
        <w:spacing w:before="60" w:after="60"/>
      </w:pPr>
      <w:r>
        <w:t>Many states and municipalities have laws that mirror or exceed the ADA and may cover smaller employers and independent contractors.</w:t>
      </w:r>
    </w:p>
    <w:p w14:paraId="5F33FDB3" w14:textId="77777777" w:rsidR="00FF461C" w:rsidRDefault="00000000">
      <w:pPr>
        <w:pStyle w:val="ListParagraph"/>
        <w:numPr>
          <w:ilvl w:val="0"/>
          <w:numId w:val="2"/>
        </w:numPr>
        <w:spacing w:before="60" w:after="60"/>
      </w:pPr>
      <w:r>
        <w:t>An ADHD diagnosis alone does not automatically qualify an individual under the ADA. The condition must substantially limit at least one major life activity. The ADAAA directs that the law be interpreted broadly and in favor of coverage.</w:t>
      </w:r>
    </w:p>
    <w:p w14:paraId="6898AC0B" w14:textId="77777777" w:rsidR="00FF461C" w:rsidRDefault="00000000">
      <w:pPr>
        <w:spacing w:before="140" w:after="60"/>
      </w:pPr>
      <w:r>
        <w:rPr>
          <w:b/>
          <w:bCs/>
          <w:color w:val="1B3A5C"/>
          <w:sz w:val="22"/>
          <w:szCs w:val="22"/>
        </w:rPr>
        <w:t>What Employees Are Entitled To</w:t>
      </w:r>
    </w:p>
    <w:p w14:paraId="440D110A" w14:textId="77777777" w:rsidR="00FF461C" w:rsidRDefault="00000000">
      <w:pPr>
        <w:pStyle w:val="ListParagraph"/>
        <w:numPr>
          <w:ilvl w:val="0"/>
          <w:numId w:val="2"/>
        </w:numPr>
        <w:spacing w:before="60" w:after="60"/>
      </w:pPr>
      <w:r>
        <w:t>Employees with qualifying ADHD have the right to request reasonable accommodations — adjustments to the job, the environment, or how work is structured that allow them to perform their essential duties. These are legal rights, not special favors.</w:t>
      </w:r>
    </w:p>
    <w:p w14:paraId="44538DD1" w14:textId="77777777" w:rsidR="00FF461C" w:rsidRDefault="00000000">
      <w:pPr>
        <w:pStyle w:val="ListParagraph"/>
        <w:numPr>
          <w:ilvl w:val="0"/>
          <w:numId w:val="2"/>
        </w:numPr>
        <w:spacing w:before="60" w:after="60"/>
      </w:pPr>
      <w:r>
        <w:t>Employers are required to engage in an "interactive process" — a good-faith conversation between employer and employee — to identify accommodations that work for both parties.</w:t>
      </w:r>
    </w:p>
    <w:p w14:paraId="547454F4" w14:textId="77777777" w:rsidR="00FF461C" w:rsidRDefault="00000000">
      <w:pPr>
        <w:pStyle w:val="ListParagraph"/>
        <w:numPr>
          <w:ilvl w:val="0"/>
          <w:numId w:val="2"/>
        </w:numPr>
        <w:spacing w:before="60" w:after="60"/>
      </w:pPr>
      <w:r>
        <w:t>Employers may deny an accommodation only if it creates "undue hardship" — defined as significant difficulty or expense in relation to the size and resources of the employer.</w:t>
      </w:r>
    </w:p>
    <w:p w14:paraId="0DEC002B" w14:textId="77777777" w:rsidR="00FF461C" w:rsidRDefault="00000000">
      <w:pPr>
        <w:pStyle w:val="ListParagraph"/>
        <w:numPr>
          <w:ilvl w:val="0"/>
          <w:numId w:val="2"/>
        </w:numPr>
        <w:spacing w:before="60" w:after="60"/>
      </w:pPr>
      <w:r>
        <w:t>Employers may not terminate, demote, or discriminate against an employee solely because of their ADHD diagnosis.</w:t>
      </w:r>
    </w:p>
    <w:p w14:paraId="31CF17D6" w14:textId="77777777" w:rsidR="00FF461C" w:rsidRDefault="00000000">
      <w:pPr>
        <w:pStyle w:val="ListParagraph"/>
        <w:numPr>
          <w:ilvl w:val="0"/>
          <w:numId w:val="2"/>
        </w:numPr>
        <w:spacing w:before="60" w:after="60"/>
      </w:pPr>
      <w:r>
        <w:t>Disclosure of diagnosis is required to access ADA protections. However, employees are not required to use the word "ADHD" or "disability" — they may describe the functional limitation and request support without full disclosure of the diagnosis.</w:t>
      </w:r>
    </w:p>
    <w:p w14:paraId="70D238A4" w14:textId="77777777" w:rsidR="00FF461C" w:rsidRDefault="00000000">
      <w:pPr>
        <w:pBdr>
          <w:left w:val="single" w:sz="18" w:space="10" w:color="2E8B7A"/>
        </w:pBdr>
        <w:spacing w:before="80" w:after="100"/>
        <w:ind w:left="280"/>
      </w:pPr>
      <w:r>
        <w:rPr>
          <w:b/>
          <w:bCs/>
          <w:color w:val="2E8B7A"/>
        </w:rPr>
        <w:t xml:space="preserve">On disclosure: </w:t>
      </w:r>
      <w:r>
        <w:t xml:space="preserve">The decision to disclose an ADHD diagnosis at work is personal and </w:t>
      </w:r>
      <w:proofErr w:type="gramStart"/>
      <w:r>
        <w:t>context-dependent</w:t>
      </w:r>
      <w:proofErr w:type="gramEnd"/>
      <w:r>
        <w:t>. Research consistently shows that disclosure outcomes vary significantly by workplace culture. In environments with high psychological safety and trained managers, disclosure is associated with better support and outcomes. In environments where stigma is present, disclosure carries real risk. Both realities deserve acknowledgment.</w:t>
      </w:r>
    </w:p>
    <w:p w14:paraId="4BD3EBDB" w14:textId="77777777" w:rsidR="00FF461C" w:rsidRDefault="00FF461C">
      <w:pPr>
        <w:pBdr>
          <w:bottom w:val="single" w:sz="8" w:space="1" w:color="2E8B7A"/>
        </w:pBdr>
        <w:spacing w:before="100" w:after="100"/>
      </w:pPr>
    </w:p>
    <w:p w14:paraId="1C0C0934" w14:textId="77777777" w:rsidR="00FF461C" w:rsidRDefault="00000000">
      <w:pPr>
        <w:spacing w:before="220" w:after="80"/>
      </w:pPr>
      <w:r>
        <w:rPr>
          <w:b/>
          <w:bCs/>
          <w:caps/>
          <w:color w:val="1B3A5C"/>
          <w:spacing w:val="40"/>
          <w:sz w:val="24"/>
          <w:szCs w:val="24"/>
        </w:rPr>
        <w:t>Modifications &amp; Accommodations: What Works</w:t>
      </w:r>
    </w:p>
    <w:p w14:paraId="14C9BECC" w14:textId="77777777" w:rsidR="00FF461C" w:rsidRDefault="00000000">
      <w:pPr>
        <w:spacing w:before="60" w:after="60"/>
      </w:pPr>
      <w:r>
        <w:t>Workplace accommodations for ADHD are not special treatment — they are equitable adjustments that allow an employee to perform at the level their actual ability warrants, rather than at the level their neurological barriers permit. Most accommodations are low-cost or no-cost and benefit the broader workplace culture as well.</w:t>
      </w:r>
    </w:p>
    <w:p w14:paraId="1AA966B6" w14:textId="77777777" w:rsidR="00FF461C" w:rsidRDefault="00000000">
      <w:pPr>
        <w:spacing w:before="60" w:after="60"/>
      </w:pPr>
      <w:r>
        <w:t>The following are evidence-based accommodations drawn from the Job Accommodation Network (JAN), CHADD, and peer-reviewed employment research:</w:t>
      </w:r>
    </w:p>
    <w:p w14:paraId="6FD61C58" w14:textId="77777777" w:rsidR="00FF461C" w:rsidRDefault="00000000">
      <w:pPr>
        <w:spacing w:before="140" w:after="60"/>
      </w:pPr>
      <w:r>
        <w:rPr>
          <w:b/>
          <w:bCs/>
          <w:color w:val="1B3A5C"/>
          <w:sz w:val="22"/>
          <w:szCs w:val="22"/>
        </w:rPr>
        <w:t>Environment &amp; Sensory</w:t>
      </w:r>
    </w:p>
    <w:p w14:paraId="040A6012" w14:textId="77777777" w:rsidR="00FF461C" w:rsidRDefault="00000000">
      <w:pPr>
        <w:pStyle w:val="ListParagraph"/>
        <w:numPr>
          <w:ilvl w:val="0"/>
          <w:numId w:val="2"/>
        </w:numPr>
        <w:spacing w:before="60" w:after="60"/>
      </w:pPr>
      <w:r>
        <w:rPr>
          <w:b/>
          <w:bCs/>
          <w:color w:val="1B3A5C"/>
        </w:rPr>
        <w:t xml:space="preserve">Workspace location: </w:t>
      </w:r>
      <w:r>
        <w:t>Quiet desk placement away from high-traffic areas, doors, or communal noise sources</w:t>
      </w:r>
    </w:p>
    <w:p w14:paraId="1D144F02" w14:textId="77777777" w:rsidR="00FF461C" w:rsidRDefault="00000000">
      <w:pPr>
        <w:pStyle w:val="ListParagraph"/>
        <w:numPr>
          <w:ilvl w:val="0"/>
          <w:numId w:val="2"/>
        </w:numPr>
        <w:spacing w:before="60" w:after="60"/>
      </w:pPr>
      <w:r>
        <w:rPr>
          <w:b/>
          <w:bCs/>
          <w:color w:val="1B3A5C"/>
        </w:rPr>
        <w:t xml:space="preserve">Noise management: </w:t>
      </w:r>
      <w:r>
        <w:t>Permission to use noise-canceling headphones or earplugs during focused work</w:t>
      </w:r>
    </w:p>
    <w:p w14:paraId="2F27C99B" w14:textId="77777777" w:rsidR="00FF461C" w:rsidRDefault="00000000">
      <w:pPr>
        <w:pStyle w:val="ListParagraph"/>
        <w:numPr>
          <w:ilvl w:val="0"/>
          <w:numId w:val="2"/>
        </w:numPr>
        <w:spacing w:before="60" w:after="60"/>
      </w:pPr>
      <w:r>
        <w:rPr>
          <w:b/>
          <w:bCs/>
          <w:color w:val="1B3A5C"/>
        </w:rPr>
        <w:t xml:space="preserve">Private space access: </w:t>
      </w:r>
      <w:r>
        <w:t>Access to a quiet room or focus pod for deep work or calls requiring concentration</w:t>
      </w:r>
    </w:p>
    <w:p w14:paraId="246E1CE5" w14:textId="77777777" w:rsidR="00FF461C" w:rsidRDefault="00000000">
      <w:pPr>
        <w:pStyle w:val="ListParagraph"/>
        <w:numPr>
          <w:ilvl w:val="0"/>
          <w:numId w:val="2"/>
        </w:numPr>
        <w:spacing w:before="60" w:after="60"/>
      </w:pPr>
      <w:r>
        <w:rPr>
          <w:b/>
          <w:bCs/>
          <w:color w:val="1B3A5C"/>
        </w:rPr>
        <w:t xml:space="preserve">Flexible workspace: </w:t>
      </w:r>
      <w:r>
        <w:t>Permission to use standing desks, fidget tools, or movement breaks to manage restlessness</w:t>
      </w:r>
    </w:p>
    <w:p w14:paraId="2F575203" w14:textId="77777777" w:rsidR="00FF461C" w:rsidRDefault="00000000">
      <w:pPr>
        <w:spacing w:before="140" w:after="60"/>
      </w:pPr>
      <w:r>
        <w:rPr>
          <w:b/>
          <w:bCs/>
          <w:color w:val="1B3A5C"/>
          <w:sz w:val="22"/>
          <w:szCs w:val="22"/>
        </w:rPr>
        <w:t>Time &amp; Task Structure</w:t>
      </w:r>
    </w:p>
    <w:p w14:paraId="43F2083E" w14:textId="77777777" w:rsidR="00FF461C" w:rsidRDefault="00000000">
      <w:pPr>
        <w:pStyle w:val="ListParagraph"/>
        <w:numPr>
          <w:ilvl w:val="0"/>
          <w:numId w:val="2"/>
        </w:numPr>
        <w:spacing w:before="60" w:after="60"/>
      </w:pPr>
      <w:r>
        <w:rPr>
          <w:b/>
          <w:bCs/>
          <w:color w:val="1B3A5C"/>
        </w:rPr>
        <w:t xml:space="preserve">Flexible scheduling: </w:t>
      </w:r>
      <w:r>
        <w:t>Adjusted start/end times aligned with peak cognitive functioning windows where possible</w:t>
      </w:r>
    </w:p>
    <w:p w14:paraId="3733137B" w14:textId="77777777" w:rsidR="00FF461C" w:rsidRDefault="00000000">
      <w:pPr>
        <w:pStyle w:val="ListParagraph"/>
        <w:numPr>
          <w:ilvl w:val="0"/>
          <w:numId w:val="2"/>
        </w:numPr>
        <w:spacing w:before="60" w:after="60"/>
      </w:pPr>
      <w:r>
        <w:rPr>
          <w:b/>
          <w:bCs/>
          <w:color w:val="1B3A5C"/>
        </w:rPr>
        <w:t xml:space="preserve">Remote or hybrid work: </w:t>
      </w:r>
      <w:r>
        <w:t>Option to work from home on focus-intensive days to reduce sensory and social load</w:t>
      </w:r>
    </w:p>
    <w:p w14:paraId="3D7F312C" w14:textId="77777777" w:rsidR="00FF461C" w:rsidRDefault="00000000">
      <w:pPr>
        <w:pStyle w:val="ListParagraph"/>
        <w:numPr>
          <w:ilvl w:val="0"/>
          <w:numId w:val="2"/>
        </w:numPr>
        <w:spacing w:before="60" w:after="60"/>
      </w:pPr>
      <w:r>
        <w:rPr>
          <w:b/>
          <w:bCs/>
          <w:color w:val="1B3A5C"/>
        </w:rPr>
        <w:t xml:space="preserve">Deadline scaffolding: </w:t>
      </w:r>
      <w:r>
        <w:t>Breaking large projects into smaller milestones with interim check-ins rather than single final deadlines</w:t>
      </w:r>
    </w:p>
    <w:p w14:paraId="538E3681" w14:textId="77777777" w:rsidR="00FF461C" w:rsidRDefault="00000000">
      <w:pPr>
        <w:pStyle w:val="ListParagraph"/>
        <w:numPr>
          <w:ilvl w:val="0"/>
          <w:numId w:val="2"/>
        </w:numPr>
        <w:spacing w:before="60" w:after="60"/>
      </w:pPr>
      <w:r>
        <w:rPr>
          <w:b/>
          <w:bCs/>
          <w:color w:val="1B3A5C"/>
        </w:rPr>
        <w:lastRenderedPageBreak/>
        <w:t xml:space="preserve">Extended time: </w:t>
      </w:r>
      <w:r>
        <w:t>Additional time for performance-based tasks, written assessments, or complex reports</w:t>
      </w:r>
    </w:p>
    <w:p w14:paraId="11CDE4AF" w14:textId="77777777" w:rsidR="00FF461C" w:rsidRDefault="00000000">
      <w:pPr>
        <w:pStyle w:val="ListParagraph"/>
        <w:numPr>
          <w:ilvl w:val="0"/>
          <w:numId w:val="2"/>
        </w:numPr>
        <w:spacing w:before="60" w:after="60"/>
      </w:pPr>
      <w:r>
        <w:rPr>
          <w:b/>
          <w:bCs/>
          <w:color w:val="1B3A5C"/>
        </w:rPr>
        <w:t xml:space="preserve">Task prioritization support: </w:t>
      </w:r>
      <w:r>
        <w:t>Regular brief check-ins with a supervisor or coach to clarify the day's highest-priority items</w:t>
      </w:r>
    </w:p>
    <w:p w14:paraId="22CABDAE" w14:textId="77777777" w:rsidR="00FF461C" w:rsidRDefault="00000000">
      <w:pPr>
        <w:spacing w:before="140" w:after="60"/>
      </w:pPr>
      <w:r>
        <w:rPr>
          <w:b/>
          <w:bCs/>
          <w:color w:val="1B3A5C"/>
          <w:sz w:val="22"/>
          <w:szCs w:val="22"/>
        </w:rPr>
        <w:t>Communication &amp; Information</w:t>
      </w:r>
    </w:p>
    <w:p w14:paraId="56DB8737" w14:textId="77777777" w:rsidR="00FF461C" w:rsidRDefault="00000000">
      <w:pPr>
        <w:pStyle w:val="ListParagraph"/>
        <w:numPr>
          <w:ilvl w:val="0"/>
          <w:numId w:val="2"/>
        </w:numPr>
        <w:spacing w:before="60" w:after="60"/>
      </w:pPr>
      <w:r>
        <w:rPr>
          <w:b/>
          <w:bCs/>
          <w:color w:val="1B3A5C"/>
        </w:rPr>
        <w:t xml:space="preserve">Written instructions: </w:t>
      </w:r>
      <w:r>
        <w:t>Key information provided in writing rather than verbally only — email summaries after verbal conversations</w:t>
      </w:r>
    </w:p>
    <w:p w14:paraId="3EDF1C00" w14:textId="77777777" w:rsidR="00FF461C" w:rsidRDefault="00000000">
      <w:pPr>
        <w:pStyle w:val="ListParagraph"/>
        <w:numPr>
          <w:ilvl w:val="0"/>
          <w:numId w:val="2"/>
        </w:numPr>
        <w:spacing w:before="60" w:after="60"/>
      </w:pPr>
      <w:r>
        <w:rPr>
          <w:b/>
          <w:bCs/>
          <w:color w:val="1B3A5C"/>
        </w:rPr>
        <w:t xml:space="preserve">Meeting agendas: </w:t>
      </w:r>
      <w:r>
        <w:t>Agendas distributed in advance of meetings to support preparation and engagement</w:t>
      </w:r>
    </w:p>
    <w:p w14:paraId="10420FBC" w14:textId="77777777" w:rsidR="00FF461C" w:rsidRDefault="00000000">
      <w:pPr>
        <w:pStyle w:val="ListParagraph"/>
        <w:numPr>
          <w:ilvl w:val="0"/>
          <w:numId w:val="2"/>
        </w:numPr>
        <w:spacing w:before="60" w:after="60"/>
      </w:pPr>
      <w:r>
        <w:rPr>
          <w:b/>
          <w:bCs/>
          <w:color w:val="1B3A5C"/>
        </w:rPr>
        <w:t xml:space="preserve">Meeting participation: </w:t>
      </w:r>
      <w:r>
        <w:t>Permission to take notes, fidget, or stand during meetings; grace for delayed but accurate verbal contributions</w:t>
      </w:r>
    </w:p>
    <w:p w14:paraId="516249B5" w14:textId="77777777" w:rsidR="00FF461C" w:rsidRDefault="00000000">
      <w:pPr>
        <w:pStyle w:val="ListParagraph"/>
        <w:numPr>
          <w:ilvl w:val="0"/>
          <w:numId w:val="2"/>
        </w:numPr>
        <w:spacing w:before="60" w:after="60"/>
      </w:pPr>
      <w:r>
        <w:rPr>
          <w:b/>
          <w:bCs/>
          <w:color w:val="1B3A5C"/>
        </w:rPr>
        <w:t xml:space="preserve">Clear expectations: </w:t>
      </w:r>
      <w:r>
        <w:t>Explicit, written role expectations and performance criteria rather than assumed understanding</w:t>
      </w:r>
    </w:p>
    <w:p w14:paraId="42B27740" w14:textId="77777777" w:rsidR="00FF461C" w:rsidRDefault="00000000">
      <w:pPr>
        <w:spacing w:before="140" w:after="60"/>
      </w:pPr>
      <w:r>
        <w:rPr>
          <w:b/>
          <w:bCs/>
          <w:color w:val="1B3A5C"/>
          <w:sz w:val="22"/>
          <w:szCs w:val="22"/>
        </w:rPr>
        <w:t>Technology &amp; Tools</w:t>
      </w:r>
    </w:p>
    <w:p w14:paraId="5395AB90" w14:textId="77777777" w:rsidR="00FF461C" w:rsidRDefault="00000000">
      <w:pPr>
        <w:pStyle w:val="ListParagraph"/>
        <w:numPr>
          <w:ilvl w:val="0"/>
          <w:numId w:val="2"/>
        </w:numPr>
        <w:spacing w:before="60" w:after="60"/>
      </w:pPr>
      <w:r>
        <w:rPr>
          <w:b/>
          <w:bCs/>
          <w:color w:val="1B3A5C"/>
        </w:rPr>
        <w:t xml:space="preserve">Assistive technology: </w:t>
      </w:r>
      <w:r>
        <w:t>Use of task management apps, time-tracking tools, calendar alerts, voice-to-text software, or noise apps</w:t>
      </w:r>
    </w:p>
    <w:p w14:paraId="2FE3A0EF" w14:textId="77777777" w:rsidR="00FF461C" w:rsidRDefault="00000000">
      <w:pPr>
        <w:pStyle w:val="ListParagraph"/>
        <w:numPr>
          <w:ilvl w:val="0"/>
          <w:numId w:val="2"/>
        </w:numPr>
        <w:spacing w:before="60" w:after="60"/>
      </w:pPr>
      <w:r>
        <w:rPr>
          <w:b/>
          <w:bCs/>
          <w:color w:val="1B3A5C"/>
        </w:rPr>
        <w:t xml:space="preserve">Dictation tools: </w:t>
      </w:r>
      <w:r>
        <w:t>Software allowing verbal rather than written communication for those who struggle with written output</w:t>
      </w:r>
    </w:p>
    <w:p w14:paraId="4AA1C0B3" w14:textId="77777777" w:rsidR="00FF461C" w:rsidRDefault="00000000">
      <w:pPr>
        <w:spacing w:before="140" w:after="60"/>
      </w:pPr>
      <w:r>
        <w:rPr>
          <w:b/>
          <w:bCs/>
          <w:color w:val="1B3A5C"/>
          <w:sz w:val="22"/>
          <w:szCs w:val="22"/>
        </w:rPr>
        <w:t>Support &amp; Supervision</w:t>
      </w:r>
    </w:p>
    <w:p w14:paraId="3A6A5EA1" w14:textId="77777777" w:rsidR="00FF461C" w:rsidRDefault="00000000">
      <w:pPr>
        <w:pStyle w:val="ListParagraph"/>
        <w:numPr>
          <w:ilvl w:val="0"/>
          <w:numId w:val="2"/>
        </w:numPr>
        <w:spacing w:before="60" w:after="60"/>
      </w:pPr>
      <w:r>
        <w:rPr>
          <w:b/>
          <w:bCs/>
          <w:color w:val="1B3A5C"/>
        </w:rPr>
        <w:t xml:space="preserve">ADHD coaching: </w:t>
      </w:r>
      <w:r>
        <w:t>Access to a workplace ADHD coach or regular check-ins with a knowledgeable supervisor</w:t>
      </w:r>
    </w:p>
    <w:p w14:paraId="1DBD2AE5" w14:textId="77777777" w:rsidR="00FF461C" w:rsidRDefault="00000000">
      <w:pPr>
        <w:pStyle w:val="ListParagraph"/>
        <w:numPr>
          <w:ilvl w:val="0"/>
          <w:numId w:val="2"/>
        </w:numPr>
        <w:spacing w:before="60" w:after="60"/>
      </w:pPr>
      <w:r>
        <w:rPr>
          <w:b/>
          <w:bCs/>
          <w:color w:val="1B3A5C"/>
        </w:rPr>
        <w:t xml:space="preserve">Mentoring: </w:t>
      </w:r>
      <w:r>
        <w:t>Pairing with a colleague who can provide informal structure and encouragement</w:t>
      </w:r>
    </w:p>
    <w:p w14:paraId="7D2355F3" w14:textId="77777777" w:rsidR="00FF461C" w:rsidRDefault="00000000">
      <w:pPr>
        <w:pStyle w:val="ListParagraph"/>
        <w:numPr>
          <w:ilvl w:val="0"/>
          <w:numId w:val="2"/>
        </w:numPr>
        <w:spacing w:before="60" w:after="60"/>
      </w:pPr>
      <w:r>
        <w:rPr>
          <w:b/>
          <w:bCs/>
          <w:color w:val="1B3A5C"/>
        </w:rPr>
        <w:t xml:space="preserve">Feedback style: </w:t>
      </w:r>
      <w:r>
        <w:t xml:space="preserve">Specific, </w:t>
      </w:r>
      <w:proofErr w:type="gramStart"/>
      <w:r>
        <w:t>behaviorally-focused</w:t>
      </w:r>
      <w:proofErr w:type="gramEnd"/>
      <w:r>
        <w:t xml:space="preserve"> feedback delivered privately rather than in group settings</w:t>
      </w:r>
    </w:p>
    <w:p w14:paraId="4FA54569" w14:textId="77777777" w:rsidR="00FF461C" w:rsidRDefault="00000000">
      <w:pPr>
        <w:pBdr>
          <w:left w:val="single" w:sz="18" w:space="10" w:color="C8952A"/>
        </w:pBdr>
        <w:spacing w:before="80" w:after="100"/>
        <w:ind w:left="280"/>
      </w:pPr>
      <w:r>
        <w:rPr>
          <w:b/>
          <w:bCs/>
          <w:color w:val="1B3A5C"/>
        </w:rPr>
        <w:t xml:space="preserve">An important frame: </w:t>
      </w:r>
      <w:r>
        <w:t>Accommodations do not create an unfair advantage. They create a level playing field. A wheelchair ramp does not give a wheelchair user an advantage over people who can climb stairs — it removes a barrier that should not have existed in the first place.</w:t>
      </w:r>
    </w:p>
    <w:p w14:paraId="1264A9D5" w14:textId="77777777" w:rsidR="00FF461C" w:rsidRDefault="00FF461C">
      <w:pPr>
        <w:pBdr>
          <w:bottom w:val="single" w:sz="8" w:space="1" w:color="2E8B7A"/>
        </w:pBdr>
        <w:spacing w:before="100" w:after="100"/>
      </w:pPr>
    </w:p>
    <w:p w14:paraId="3AD41E4E" w14:textId="77777777" w:rsidR="00FF461C" w:rsidRDefault="00000000">
      <w:pPr>
        <w:spacing w:before="220" w:after="80"/>
      </w:pPr>
      <w:r>
        <w:rPr>
          <w:b/>
          <w:bCs/>
          <w:caps/>
          <w:color w:val="1B3A5C"/>
          <w:spacing w:val="40"/>
          <w:sz w:val="24"/>
          <w:szCs w:val="24"/>
        </w:rPr>
        <w:t>Building a Culture That Values Diversity of Minds</w:t>
      </w:r>
    </w:p>
    <w:p w14:paraId="769B6C93" w14:textId="77777777" w:rsidR="00FF461C" w:rsidRDefault="00000000">
      <w:pPr>
        <w:spacing w:before="60" w:after="60"/>
      </w:pPr>
      <w:r>
        <w:t>Workplace accommodations address individual barriers. Culture determines whether those accommodations take root or wither. The research on neurodiversity-inclusive organizations is increasingly clear: environments that are built to support neurodivergent employees are better for everyone.</w:t>
      </w:r>
    </w:p>
    <w:p w14:paraId="43A1463A" w14:textId="77777777" w:rsidR="00FF461C" w:rsidRDefault="00000000">
      <w:pPr>
        <w:spacing w:before="60" w:after="60"/>
      </w:pPr>
      <w:r>
        <w:rPr>
          <w:b/>
          <w:bCs/>
          <w:color w:val="2E8B7A"/>
          <w:sz w:val="28"/>
          <w:szCs w:val="28"/>
        </w:rPr>
        <w:t>30</w:t>
      </w:r>
      <w:proofErr w:type="gramStart"/>
      <w:r>
        <w:rPr>
          <w:b/>
          <w:bCs/>
          <w:color w:val="2E8B7A"/>
          <w:sz w:val="28"/>
          <w:szCs w:val="28"/>
        </w:rPr>
        <w:t xml:space="preserve">%  </w:t>
      </w:r>
      <w:r>
        <w:rPr>
          <w:sz w:val="19"/>
          <w:szCs w:val="19"/>
        </w:rPr>
        <w:t>more</w:t>
      </w:r>
      <w:proofErr w:type="gramEnd"/>
      <w:r>
        <w:rPr>
          <w:sz w:val="19"/>
          <w:szCs w:val="19"/>
        </w:rPr>
        <w:t xml:space="preserve"> productive: workplaces with neurodivergent professionals in relevant roles can be up to 30% more productive than those without them, according to Deloitte research cited by the World Economic Forum (2023).</w:t>
      </w:r>
    </w:p>
    <w:p w14:paraId="1D0FFE75" w14:textId="77777777" w:rsidR="00FF461C" w:rsidRDefault="00000000">
      <w:pPr>
        <w:spacing w:before="60" w:after="60"/>
      </w:pPr>
      <w:r>
        <w:rPr>
          <w:b/>
          <w:bCs/>
          <w:color w:val="2E8B7A"/>
          <w:sz w:val="28"/>
          <w:szCs w:val="28"/>
        </w:rPr>
        <w:t>33</w:t>
      </w:r>
      <w:proofErr w:type="gramStart"/>
      <w:r>
        <w:rPr>
          <w:b/>
          <w:bCs/>
          <w:color w:val="2E8B7A"/>
          <w:sz w:val="28"/>
          <w:szCs w:val="28"/>
        </w:rPr>
        <w:t xml:space="preserve">%  </w:t>
      </w:r>
      <w:r>
        <w:rPr>
          <w:sz w:val="19"/>
          <w:szCs w:val="19"/>
        </w:rPr>
        <w:t>of</w:t>
      </w:r>
      <w:proofErr w:type="gramEnd"/>
      <w:r>
        <w:rPr>
          <w:sz w:val="19"/>
          <w:szCs w:val="19"/>
        </w:rPr>
        <w:t xml:space="preserve"> neurodivergent employees in a 2024 CIPD survey reported their workplace experience had negatively impacted their mental wellbeing — a preventable outcome where culture and management are the levers.</w:t>
      </w:r>
    </w:p>
    <w:p w14:paraId="09A18AC0" w14:textId="77777777" w:rsidR="00FF461C" w:rsidRDefault="00000000">
      <w:pPr>
        <w:spacing w:before="60" w:after="60"/>
      </w:pPr>
      <w:r>
        <w:rPr>
          <w:b/>
          <w:bCs/>
          <w:color w:val="2E8B7A"/>
          <w:sz w:val="28"/>
          <w:szCs w:val="28"/>
        </w:rPr>
        <w:t>Only 30</w:t>
      </w:r>
      <w:proofErr w:type="gramStart"/>
      <w:r>
        <w:rPr>
          <w:b/>
          <w:bCs/>
          <w:color w:val="2E8B7A"/>
          <w:sz w:val="28"/>
          <w:szCs w:val="28"/>
        </w:rPr>
        <w:t xml:space="preserve">%  </w:t>
      </w:r>
      <w:r>
        <w:rPr>
          <w:sz w:val="19"/>
          <w:szCs w:val="19"/>
        </w:rPr>
        <w:t>of</w:t>
      </w:r>
      <w:proofErr w:type="gramEnd"/>
      <w:r>
        <w:rPr>
          <w:sz w:val="19"/>
          <w:szCs w:val="19"/>
        </w:rPr>
        <w:t xml:space="preserve"> employers have provided any education or awareness training on neurodiversity for all staff (CIPD </w:t>
      </w:r>
      <w:proofErr w:type="spellStart"/>
      <w:r>
        <w:rPr>
          <w:sz w:val="19"/>
          <w:szCs w:val="19"/>
        </w:rPr>
        <w:t>Neuroinclusion</w:t>
      </w:r>
      <w:proofErr w:type="spellEnd"/>
      <w:r>
        <w:rPr>
          <w:sz w:val="19"/>
          <w:szCs w:val="19"/>
        </w:rPr>
        <w:t xml:space="preserve"> at Work Report, 2024).</w:t>
      </w:r>
    </w:p>
    <w:p w14:paraId="15549CBA" w14:textId="77777777" w:rsidR="00FF461C" w:rsidRDefault="00000000">
      <w:pPr>
        <w:spacing w:before="140" w:after="60"/>
      </w:pPr>
      <w:r>
        <w:rPr>
          <w:b/>
          <w:bCs/>
          <w:color w:val="1B3A5C"/>
          <w:sz w:val="22"/>
          <w:szCs w:val="22"/>
        </w:rPr>
        <w:t>What a Neuroinclusive Culture Looks Like</w:t>
      </w:r>
    </w:p>
    <w:p w14:paraId="6A0D4F27" w14:textId="77777777" w:rsidR="00FF461C" w:rsidRDefault="00000000">
      <w:pPr>
        <w:pStyle w:val="ListParagraph"/>
        <w:numPr>
          <w:ilvl w:val="0"/>
          <w:numId w:val="2"/>
        </w:numPr>
        <w:spacing w:before="60" w:after="60"/>
      </w:pPr>
      <w:r>
        <w:t>Leadership that names neurodiversity explicitly as a valued dimension of workforce diversity — not an accommodation problem, but a strategic asset (World Economic Forum, 2024).</w:t>
      </w:r>
    </w:p>
    <w:p w14:paraId="1BA2853B" w14:textId="77777777" w:rsidR="00FF461C" w:rsidRDefault="00000000">
      <w:pPr>
        <w:pStyle w:val="ListParagraph"/>
        <w:numPr>
          <w:ilvl w:val="0"/>
          <w:numId w:val="2"/>
        </w:numPr>
        <w:spacing w:before="60" w:after="60"/>
      </w:pPr>
      <w:r>
        <w:t>Manager training on neurodiversity that goes beyond legal compliance to include practical skills: how to communicate clearly with neurodiverse team members, how to recognize executive function challenges without attributing them to attitude, and how to engage in productive accommodation conversations.</w:t>
      </w:r>
    </w:p>
    <w:p w14:paraId="44DDD7CA" w14:textId="77777777" w:rsidR="00FF461C" w:rsidRDefault="00000000">
      <w:pPr>
        <w:pStyle w:val="ListParagraph"/>
        <w:numPr>
          <w:ilvl w:val="0"/>
          <w:numId w:val="2"/>
        </w:numPr>
        <w:spacing w:before="60" w:after="60"/>
      </w:pPr>
      <w:r>
        <w:t>Psychological safety — the felt sense that ideas and concerns can be shared without negative consequences — identified by Harvard Business School professor Amy Edmondson as the foundational condition under which neurodivergent employees can disclose, ask for support, and contribute authentically (World Economic Forum, 2024).</w:t>
      </w:r>
    </w:p>
    <w:p w14:paraId="0DAC326F" w14:textId="77777777" w:rsidR="00FF461C" w:rsidRDefault="00000000">
      <w:pPr>
        <w:pStyle w:val="ListParagraph"/>
        <w:numPr>
          <w:ilvl w:val="0"/>
          <w:numId w:val="2"/>
        </w:numPr>
        <w:spacing w:before="60" w:after="60"/>
      </w:pPr>
      <w:r>
        <w:lastRenderedPageBreak/>
        <w:t xml:space="preserve">Multiple modes of communication and </w:t>
      </w:r>
      <w:proofErr w:type="gramStart"/>
      <w:r>
        <w:t>contribution:</w:t>
      </w:r>
      <w:proofErr w:type="gramEnd"/>
      <w:r>
        <w:t xml:space="preserve"> written alongside verbal; asynchronous alongside synchronous; individual alongside group — so that no single format systematically advantages one cognitive style over another.</w:t>
      </w:r>
    </w:p>
    <w:p w14:paraId="22177BD5" w14:textId="77777777" w:rsidR="00FF461C" w:rsidRDefault="00000000">
      <w:pPr>
        <w:pStyle w:val="ListParagraph"/>
        <w:numPr>
          <w:ilvl w:val="0"/>
          <w:numId w:val="2"/>
        </w:numPr>
        <w:spacing w:before="60" w:after="60"/>
      </w:pPr>
      <w:r>
        <w:t>Performance evaluation criteria built around outcomes and demonstrated competencies rather than conformity to neurotypical work styles (e.g., appearing engaged in long meetings, quick verbal recall, visible busyness).</w:t>
      </w:r>
    </w:p>
    <w:p w14:paraId="79F653FF" w14:textId="77777777" w:rsidR="00FF461C" w:rsidRDefault="00000000">
      <w:pPr>
        <w:pStyle w:val="ListParagraph"/>
        <w:numPr>
          <w:ilvl w:val="0"/>
          <w:numId w:val="2"/>
        </w:numPr>
        <w:spacing w:before="60" w:after="60"/>
      </w:pPr>
      <w:r>
        <w:t>Recruitment and hiring practices redesigned to focus on skills and demonstrated strengths rather than traditional interview formats that disadvantage ADHD and other neurodivergent candidates.</w:t>
      </w:r>
    </w:p>
    <w:p w14:paraId="7A01519F" w14:textId="77777777" w:rsidR="00FF461C" w:rsidRDefault="00000000">
      <w:pPr>
        <w:spacing w:before="140" w:after="60"/>
      </w:pPr>
      <w:r>
        <w:rPr>
          <w:b/>
          <w:bCs/>
          <w:color w:val="1B3A5C"/>
          <w:sz w:val="22"/>
          <w:szCs w:val="22"/>
        </w:rPr>
        <w:t>Why This Benefits Everyone</w:t>
      </w:r>
    </w:p>
    <w:p w14:paraId="1FA547DC" w14:textId="77777777" w:rsidR="00FF461C" w:rsidRDefault="00000000">
      <w:pPr>
        <w:spacing w:before="60" w:after="60"/>
      </w:pPr>
      <w:r>
        <w:t xml:space="preserve">The accommodations and structural shifts that support employees with ADHD — clear expectations, written communication, flexible scheduling, explicit feedback, reduced sensory overload — consistently improve functioning for neurotypical employees as well. </w:t>
      </w:r>
      <w:proofErr w:type="spellStart"/>
      <w:r>
        <w:t>Neuroinclusion</w:t>
      </w:r>
      <w:proofErr w:type="spellEnd"/>
      <w:r>
        <w:t xml:space="preserve"> is not niche design. It is better design.</w:t>
      </w:r>
    </w:p>
    <w:p w14:paraId="22C28995" w14:textId="77777777" w:rsidR="00FF461C" w:rsidRDefault="00000000">
      <w:pPr>
        <w:spacing w:before="60" w:after="60"/>
      </w:pPr>
      <w:r>
        <w:t>When teams include diverse cognitive styles — people who think linearly and nonlinearly, who process quickly and deeply, who excel under pressure and in quiet — they are better protected against groupthink and more capable of reaching robust, innovative solutions. Cognitive diversity is a documented organizational asset, not a charitable accommodation (World Economic Forum, 2024; Deloitte).</w:t>
      </w:r>
    </w:p>
    <w:p w14:paraId="1C24D79F" w14:textId="77777777" w:rsidR="00FF461C" w:rsidRDefault="00000000">
      <w:pPr>
        <w:pBdr>
          <w:left w:val="single" w:sz="18" w:space="10" w:color="2E8B7A"/>
        </w:pBdr>
        <w:spacing w:before="80" w:after="100"/>
        <w:ind w:left="280"/>
      </w:pPr>
      <w:r>
        <w:rPr>
          <w:b/>
          <w:bCs/>
          <w:color w:val="2E8B7A"/>
        </w:rPr>
        <w:t xml:space="preserve">For faith communities as employers: </w:t>
      </w:r>
      <w:r>
        <w:t>The same principles apply. Churches, nonprofits, and faith-based organizations that employ people with ADHD can and should create neuroinclusive environments — not only because the law may require it, but because the values of dignity, belonging, and the recognition of every person's unique contribution compel it.</w:t>
      </w:r>
    </w:p>
    <w:p w14:paraId="4C70B4F8" w14:textId="77777777" w:rsidR="00FF461C" w:rsidRDefault="00FF461C">
      <w:pPr>
        <w:pBdr>
          <w:bottom w:val="single" w:sz="8" w:space="1" w:color="C8952A"/>
        </w:pBdr>
        <w:spacing w:before="100" w:after="100"/>
      </w:pPr>
    </w:p>
    <w:p w14:paraId="1ADB6F81" w14:textId="77777777" w:rsidR="00FF461C"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6F51606E" w14:textId="77777777" w:rsidR="00FF461C" w:rsidRDefault="00000000">
      <w:pPr>
        <w:spacing w:before="40" w:after="60"/>
        <w:jc w:val="center"/>
      </w:pPr>
      <w:r>
        <w:rPr>
          <w:sz w:val="19"/>
          <w:szCs w:val="19"/>
        </w:rPr>
        <w:t xml:space="preserve">For resources, training, or speaking inquiries: </w:t>
      </w:r>
      <w:proofErr w:type="gramStart"/>
      <w:r>
        <w:rPr>
          <w:b/>
          <w:bCs/>
          <w:color w:val="2E8B7A"/>
          <w:sz w:val="19"/>
          <w:szCs w:val="19"/>
        </w:rPr>
        <w:t>info@societyforadhd.org  |</w:t>
      </w:r>
      <w:proofErr w:type="gramEnd"/>
      <w:r>
        <w:rPr>
          <w:b/>
          <w:bCs/>
          <w:color w:val="2E8B7A"/>
          <w:sz w:val="19"/>
          <w:szCs w:val="19"/>
        </w:rPr>
        <w:t xml:space="preserve">  www.societyforadhd.org</w:t>
      </w:r>
    </w:p>
    <w:p w14:paraId="1FED617C" w14:textId="77777777" w:rsidR="00FF461C" w:rsidRDefault="00000000">
      <w:pPr>
        <w:spacing w:before="60"/>
        <w:jc w:val="center"/>
      </w:pPr>
      <w:r>
        <w:rPr>
          <w:i/>
          <w:iCs/>
          <w:sz w:val="16"/>
          <w:szCs w:val="16"/>
        </w:rPr>
        <w:t>References available upon request. All content is science-backed and evidence-based.</w:t>
      </w:r>
    </w:p>
    <w:sectPr w:rsidR="00FF461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848E" w14:textId="77777777" w:rsidR="00A67EB8" w:rsidRDefault="00A67EB8">
      <w:r>
        <w:separator/>
      </w:r>
    </w:p>
  </w:endnote>
  <w:endnote w:type="continuationSeparator" w:id="0">
    <w:p w14:paraId="0FE65763" w14:textId="77777777" w:rsidR="00A67EB8" w:rsidRDefault="00A6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5EC3" w14:textId="77777777" w:rsidR="00FF461C"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BFB2" w14:textId="77777777" w:rsidR="00A67EB8" w:rsidRDefault="00A67EB8">
      <w:r>
        <w:separator/>
      </w:r>
    </w:p>
  </w:footnote>
  <w:footnote w:type="continuationSeparator" w:id="0">
    <w:p w14:paraId="5401006A" w14:textId="77777777" w:rsidR="00A67EB8" w:rsidRDefault="00A6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A57F" w14:textId="77777777" w:rsidR="00FF461C"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C4A7C"/>
    <w:multiLevelType w:val="hybridMultilevel"/>
    <w:tmpl w:val="5DFE454C"/>
    <w:lvl w:ilvl="0" w:tplc="D0062566">
      <w:start w:val="1"/>
      <w:numFmt w:val="bullet"/>
      <w:lvlText w:val="●"/>
      <w:lvlJc w:val="left"/>
      <w:pPr>
        <w:ind w:left="560" w:hanging="300"/>
      </w:pPr>
      <w:rPr>
        <w:rFonts w:ascii="Arial" w:eastAsia="Arial" w:hAnsi="Arial" w:cs="Arial"/>
        <w:color w:val="2E8B7A"/>
        <w:sz w:val="18"/>
        <w:szCs w:val="18"/>
      </w:rPr>
    </w:lvl>
    <w:lvl w:ilvl="1" w:tplc="05FE3564">
      <w:numFmt w:val="decimal"/>
      <w:lvlText w:val=""/>
      <w:lvlJc w:val="left"/>
    </w:lvl>
    <w:lvl w:ilvl="2" w:tplc="88F6C69A">
      <w:numFmt w:val="decimal"/>
      <w:lvlText w:val=""/>
      <w:lvlJc w:val="left"/>
    </w:lvl>
    <w:lvl w:ilvl="3" w:tplc="A4F0FC12">
      <w:numFmt w:val="decimal"/>
      <w:lvlText w:val=""/>
      <w:lvlJc w:val="left"/>
    </w:lvl>
    <w:lvl w:ilvl="4" w:tplc="E7266484">
      <w:numFmt w:val="decimal"/>
      <w:lvlText w:val=""/>
      <w:lvlJc w:val="left"/>
    </w:lvl>
    <w:lvl w:ilvl="5" w:tplc="B5B20544">
      <w:numFmt w:val="decimal"/>
      <w:lvlText w:val=""/>
      <w:lvlJc w:val="left"/>
    </w:lvl>
    <w:lvl w:ilvl="6" w:tplc="63EE3D1A">
      <w:numFmt w:val="decimal"/>
      <w:lvlText w:val=""/>
      <w:lvlJc w:val="left"/>
    </w:lvl>
    <w:lvl w:ilvl="7" w:tplc="9D507B0C">
      <w:numFmt w:val="decimal"/>
      <w:lvlText w:val=""/>
      <w:lvlJc w:val="left"/>
    </w:lvl>
    <w:lvl w:ilvl="8" w:tplc="031E17EC">
      <w:numFmt w:val="decimal"/>
      <w:lvlText w:val=""/>
      <w:lvlJc w:val="left"/>
    </w:lvl>
  </w:abstractNum>
  <w:abstractNum w:abstractNumId="1" w15:restartNumberingAfterBreak="0">
    <w:nsid w:val="5C213B01"/>
    <w:multiLevelType w:val="hybridMultilevel"/>
    <w:tmpl w:val="8D7A1570"/>
    <w:lvl w:ilvl="0" w:tplc="CAB88C54">
      <w:start w:val="1"/>
      <w:numFmt w:val="bullet"/>
      <w:lvlText w:val="●"/>
      <w:lvlJc w:val="left"/>
      <w:pPr>
        <w:ind w:left="720" w:hanging="360"/>
      </w:pPr>
    </w:lvl>
    <w:lvl w:ilvl="1" w:tplc="F1B67772">
      <w:start w:val="1"/>
      <w:numFmt w:val="bullet"/>
      <w:lvlText w:val="○"/>
      <w:lvlJc w:val="left"/>
      <w:pPr>
        <w:ind w:left="1440" w:hanging="360"/>
      </w:pPr>
    </w:lvl>
    <w:lvl w:ilvl="2" w:tplc="EDC645A0">
      <w:start w:val="1"/>
      <w:numFmt w:val="bullet"/>
      <w:lvlText w:val="■"/>
      <w:lvlJc w:val="left"/>
      <w:pPr>
        <w:ind w:left="2160" w:hanging="360"/>
      </w:pPr>
    </w:lvl>
    <w:lvl w:ilvl="3" w:tplc="774AABEA">
      <w:start w:val="1"/>
      <w:numFmt w:val="bullet"/>
      <w:lvlText w:val="●"/>
      <w:lvlJc w:val="left"/>
      <w:pPr>
        <w:ind w:left="2880" w:hanging="360"/>
      </w:pPr>
    </w:lvl>
    <w:lvl w:ilvl="4" w:tplc="AC7451D6">
      <w:start w:val="1"/>
      <w:numFmt w:val="bullet"/>
      <w:lvlText w:val="○"/>
      <w:lvlJc w:val="left"/>
      <w:pPr>
        <w:ind w:left="3600" w:hanging="360"/>
      </w:pPr>
    </w:lvl>
    <w:lvl w:ilvl="5" w:tplc="0A6AD2D4">
      <w:start w:val="1"/>
      <w:numFmt w:val="bullet"/>
      <w:lvlText w:val="■"/>
      <w:lvlJc w:val="left"/>
      <w:pPr>
        <w:ind w:left="4320" w:hanging="360"/>
      </w:pPr>
    </w:lvl>
    <w:lvl w:ilvl="6" w:tplc="CAB29CCA">
      <w:start w:val="1"/>
      <w:numFmt w:val="bullet"/>
      <w:lvlText w:val="●"/>
      <w:lvlJc w:val="left"/>
      <w:pPr>
        <w:ind w:left="5040" w:hanging="360"/>
      </w:pPr>
    </w:lvl>
    <w:lvl w:ilvl="7" w:tplc="65FC0DD0">
      <w:start w:val="1"/>
      <w:numFmt w:val="bullet"/>
      <w:lvlText w:val="●"/>
      <w:lvlJc w:val="left"/>
      <w:pPr>
        <w:ind w:left="5760" w:hanging="360"/>
      </w:pPr>
    </w:lvl>
    <w:lvl w:ilvl="8" w:tplc="3ADA1638">
      <w:start w:val="1"/>
      <w:numFmt w:val="bullet"/>
      <w:lvlText w:val="●"/>
      <w:lvlJc w:val="left"/>
      <w:pPr>
        <w:ind w:left="6480" w:hanging="360"/>
      </w:pPr>
    </w:lvl>
  </w:abstractNum>
  <w:num w:numId="1" w16cid:durableId="1614629134">
    <w:abstractNumId w:val="1"/>
    <w:lvlOverride w:ilvl="0">
      <w:startOverride w:val="1"/>
    </w:lvlOverride>
  </w:num>
  <w:num w:numId="2" w16cid:durableId="423041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1C"/>
    <w:rsid w:val="003F513B"/>
    <w:rsid w:val="00A67EB8"/>
    <w:rsid w:val="00F04552"/>
    <w:rsid w:val="00FF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F76908"/>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2392</Words>
  <Characters>14573</Characters>
  <Application>Microsoft Office Word</Application>
  <DocSecurity>0</DocSecurity>
  <Lines>214</Lines>
  <Paragraphs>104</Paragraphs>
  <ScaleCrop>false</ScaleCrop>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2026-04-01T19:55:00Z</dcterms:created>
  <dcterms:modified xsi:type="dcterms:W3CDTF">2026-04-01T19:55:00Z</dcterms:modified>
</cp:coreProperties>
</file>