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B6F412" w14:textId="77777777" w:rsidR="00B833C1" w:rsidRDefault="00000000">
      <w:pPr>
        <w:spacing w:before="200" w:after="40"/>
        <w:jc w:val="center"/>
      </w:pPr>
      <w:r>
        <w:rPr>
          <w:b/>
          <w:bCs/>
          <w:caps/>
          <w:color w:val="1B3A5C"/>
          <w:sz w:val="52"/>
          <w:szCs w:val="52"/>
        </w:rPr>
        <w:t>UNDERSTANDING ADHD</w:t>
      </w:r>
    </w:p>
    <w:p w14:paraId="1EBE35ED" w14:textId="77777777" w:rsidR="00B833C1" w:rsidRDefault="00B833C1">
      <w:pPr>
        <w:spacing w:after="60"/>
        <w:jc w:val="center"/>
      </w:pPr>
    </w:p>
    <w:p w14:paraId="0227816B" w14:textId="77777777" w:rsidR="00B833C1" w:rsidRDefault="00B833C1">
      <w:pPr>
        <w:pBdr>
          <w:bottom w:val="single" w:sz="8" w:space="1" w:color="C8952A"/>
        </w:pBdr>
        <w:spacing w:before="100" w:after="100"/>
      </w:pPr>
    </w:p>
    <w:p w14:paraId="409CA1D0" w14:textId="77777777" w:rsidR="00B833C1" w:rsidRDefault="00000000">
      <w:pPr>
        <w:spacing w:before="220" w:after="80"/>
      </w:pPr>
      <w:r>
        <w:rPr>
          <w:b/>
          <w:bCs/>
          <w:caps/>
          <w:color w:val="1B3A5C"/>
          <w:spacing w:val="40"/>
          <w:sz w:val="24"/>
          <w:szCs w:val="24"/>
        </w:rPr>
        <w:t>What Is ADHD?</w:t>
      </w:r>
    </w:p>
    <w:p w14:paraId="53F88E64" w14:textId="77777777" w:rsidR="00B833C1" w:rsidRDefault="00000000">
      <w:pPr>
        <w:spacing w:before="60" w:after="60"/>
      </w:pPr>
      <w:r>
        <w:t>Attention-Deficit/Hyperactivity Disorder (ADHD) is a neurodevelopmental condition recognized by the American Psychiatric Association (DSM-5-TR) and the American Academy of Pediatrics. It affects how the brain regulates attention, impulse control, and executive functioning. ADHD is not a character flaw, a lack of faith, or a failure of discipline — it is a clinically recognized, brain-based condition with a strong genetic component.</w:t>
      </w:r>
    </w:p>
    <w:p w14:paraId="017B7D68" w14:textId="77777777" w:rsidR="00B833C1" w:rsidRDefault="00000000">
      <w:pPr>
        <w:spacing w:before="80" w:after="80"/>
      </w:pPr>
      <w:r>
        <w:rPr>
          <w:b/>
          <w:bCs/>
          <w:color w:val="1B3A5C"/>
        </w:rPr>
        <w:t>Key Facts:</w:t>
      </w:r>
    </w:p>
    <w:p w14:paraId="7986A18B" w14:textId="77777777" w:rsidR="00B833C1" w:rsidRDefault="00000000">
      <w:pPr>
        <w:pStyle w:val="ListParagraph"/>
        <w:numPr>
          <w:ilvl w:val="0"/>
          <w:numId w:val="2"/>
        </w:numPr>
        <w:spacing w:before="60" w:after="60"/>
      </w:pPr>
      <w:r>
        <w:rPr>
          <w:b/>
          <w:bCs/>
          <w:color w:val="1B3A5C"/>
        </w:rPr>
        <w:t xml:space="preserve">Prevalence (children): </w:t>
      </w:r>
      <w:r>
        <w:t xml:space="preserve">11.4% of U.S. children aged 3–17 (approximately 7 million) </w:t>
      </w:r>
      <w:proofErr w:type="gramStart"/>
      <w:r>
        <w:t>have</w:t>
      </w:r>
      <w:proofErr w:type="gramEnd"/>
      <w:r>
        <w:t xml:space="preserve"> ever been diagnosed with ADHD (Danielson et al., 2024; CDC National Survey of Children’s Health, 2022).</w:t>
      </w:r>
    </w:p>
    <w:p w14:paraId="3CF05C7D" w14:textId="77777777" w:rsidR="00B833C1" w:rsidRDefault="00000000">
      <w:pPr>
        <w:pStyle w:val="ListParagraph"/>
        <w:numPr>
          <w:ilvl w:val="0"/>
          <w:numId w:val="2"/>
        </w:numPr>
        <w:spacing w:before="60" w:after="60"/>
      </w:pPr>
      <w:r>
        <w:rPr>
          <w:b/>
          <w:bCs/>
          <w:color w:val="1B3A5C"/>
        </w:rPr>
        <w:t xml:space="preserve">Prevalence (adults): </w:t>
      </w:r>
      <w:r>
        <w:t>6.0% of U.S. adults — approximately 15.5 million — have a current ADHD diagnosis; about half received their diagnosis in adulthood (Staley et al., 2024; CDC Rapid Surveys System, Oct–Nov 2023).</w:t>
      </w:r>
    </w:p>
    <w:p w14:paraId="6C190A8A" w14:textId="77777777" w:rsidR="00B833C1" w:rsidRDefault="00000000">
      <w:pPr>
        <w:pStyle w:val="ListParagraph"/>
        <w:numPr>
          <w:ilvl w:val="0"/>
          <w:numId w:val="2"/>
        </w:numPr>
        <w:spacing w:before="60" w:after="60"/>
      </w:pPr>
      <w:r>
        <w:rPr>
          <w:b/>
          <w:bCs/>
          <w:color w:val="1B3A5C"/>
        </w:rPr>
        <w:t xml:space="preserve">Heritability: </w:t>
      </w:r>
      <w:r>
        <w:t>ADHD is among the most heritable psychiatric conditions, with genetics accounting for ~74% of risk (Larsson et al., 2014).</w:t>
      </w:r>
    </w:p>
    <w:p w14:paraId="17B635E3" w14:textId="77777777" w:rsidR="00B833C1" w:rsidRDefault="00000000">
      <w:pPr>
        <w:pStyle w:val="ListParagraph"/>
        <w:numPr>
          <w:ilvl w:val="0"/>
          <w:numId w:val="2"/>
        </w:numPr>
        <w:spacing w:before="60" w:after="60"/>
      </w:pPr>
      <w:r>
        <w:rPr>
          <w:b/>
          <w:bCs/>
          <w:color w:val="1B3A5C"/>
        </w:rPr>
        <w:t xml:space="preserve">Lifespan condition: </w:t>
      </w:r>
      <w:r>
        <w:t>While hyperactivity may lessen with age, attention and executive function challenges often continue into adulthood.</w:t>
      </w:r>
    </w:p>
    <w:p w14:paraId="443E1291" w14:textId="77777777" w:rsidR="00B833C1" w:rsidRDefault="00000000">
      <w:pPr>
        <w:pStyle w:val="ListParagraph"/>
        <w:numPr>
          <w:ilvl w:val="0"/>
          <w:numId w:val="2"/>
        </w:numPr>
        <w:spacing w:before="60" w:after="60"/>
      </w:pPr>
      <w:r>
        <w:rPr>
          <w:b/>
          <w:bCs/>
          <w:color w:val="1B3A5C"/>
        </w:rPr>
        <w:t xml:space="preserve">Co-occurring conditions: </w:t>
      </w:r>
      <w:r>
        <w:t>Nearly 78% of children with ADHD have at least one co-occurring condition — including anxiety, depression, or behavioral challenges (CDC, 2022).</w:t>
      </w:r>
    </w:p>
    <w:p w14:paraId="1C5B1AFF" w14:textId="77777777" w:rsidR="00B833C1" w:rsidRDefault="00B833C1">
      <w:pPr>
        <w:pBdr>
          <w:bottom w:val="single" w:sz="8" w:space="1" w:color="2E8B7A"/>
        </w:pBdr>
        <w:spacing w:before="100" w:after="100"/>
      </w:pPr>
    </w:p>
    <w:p w14:paraId="6E2765B3" w14:textId="77777777" w:rsidR="00B833C1" w:rsidRDefault="00000000">
      <w:pPr>
        <w:spacing w:before="220" w:after="80"/>
      </w:pPr>
      <w:r>
        <w:rPr>
          <w:b/>
          <w:bCs/>
          <w:caps/>
          <w:color w:val="1B3A5C"/>
          <w:spacing w:val="40"/>
          <w:sz w:val="24"/>
          <w:szCs w:val="24"/>
        </w:rPr>
        <w:t>The Three Presentations of ADHD</w:t>
      </w:r>
    </w:p>
    <w:p w14:paraId="787585A6" w14:textId="77777777" w:rsidR="00B833C1" w:rsidRDefault="00000000">
      <w:pPr>
        <w:spacing w:before="60" w:after="60"/>
      </w:pPr>
      <w:r>
        <w:t>The DSM-5-TR identifies three clinical presentations:</w:t>
      </w:r>
    </w:p>
    <w:p w14:paraId="4F953AA6" w14:textId="77777777" w:rsidR="00B833C1" w:rsidRDefault="00000000">
      <w:pPr>
        <w:spacing w:before="100" w:after="40"/>
      </w:pPr>
      <w:r>
        <w:rPr>
          <w:b/>
          <w:bCs/>
          <w:color w:val="2E8B7A"/>
          <w:sz w:val="22"/>
          <w:szCs w:val="22"/>
        </w:rPr>
        <w:t>1.  Predominantly Inattentive Presentation</w:t>
      </w:r>
    </w:p>
    <w:p w14:paraId="2AF7CA32" w14:textId="77777777" w:rsidR="00B833C1" w:rsidRDefault="00000000">
      <w:pPr>
        <w:spacing w:after="60"/>
        <w:ind w:left="400"/>
      </w:pPr>
      <w:r>
        <w:t>Difficulty sustaining focus, following through on tasks, and managing details — with little to no hyperactivity.</w:t>
      </w:r>
    </w:p>
    <w:p w14:paraId="7F14BC79" w14:textId="77777777" w:rsidR="00B833C1" w:rsidRDefault="00000000">
      <w:pPr>
        <w:spacing w:after="30"/>
        <w:ind w:left="400"/>
      </w:pPr>
      <w:r>
        <w:rPr>
          <w:i/>
          <w:iCs/>
        </w:rPr>
        <w:t>Common signs may include:</w:t>
      </w:r>
    </w:p>
    <w:p w14:paraId="598F65C4" w14:textId="77777777" w:rsidR="00B833C1" w:rsidRDefault="00000000">
      <w:pPr>
        <w:pStyle w:val="ListParagraph"/>
        <w:numPr>
          <w:ilvl w:val="0"/>
          <w:numId w:val="3"/>
        </w:numPr>
        <w:spacing w:before="40" w:after="40"/>
      </w:pPr>
      <w:r>
        <w:rPr>
          <w:sz w:val="19"/>
          <w:szCs w:val="19"/>
        </w:rPr>
        <w:t>Frequently losing items, missing details in instructions</w:t>
      </w:r>
    </w:p>
    <w:p w14:paraId="6D3FFB20" w14:textId="77777777" w:rsidR="00B833C1" w:rsidRDefault="00000000">
      <w:pPr>
        <w:pStyle w:val="ListParagraph"/>
        <w:numPr>
          <w:ilvl w:val="0"/>
          <w:numId w:val="3"/>
        </w:numPr>
        <w:spacing w:before="40" w:after="40"/>
      </w:pPr>
      <w:r>
        <w:rPr>
          <w:sz w:val="19"/>
          <w:szCs w:val="19"/>
        </w:rPr>
        <w:t>Appearing forgetful, disorganized, or “spacey”</w:t>
      </w:r>
    </w:p>
    <w:p w14:paraId="4A91DC2E" w14:textId="77777777" w:rsidR="00B833C1" w:rsidRDefault="00000000">
      <w:pPr>
        <w:pStyle w:val="ListParagraph"/>
        <w:numPr>
          <w:ilvl w:val="0"/>
          <w:numId w:val="3"/>
        </w:numPr>
        <w:spacing w:before="40" w:after="40"/>
      </w:pPr>
      <w:r>
        <w:rPr>
          <w:sz w:val="19"/>
          <w:szCs w:val="19"/>
        </w:rPr>
        <w:t>Easily distracted, difficulty sustaining effort on longer tasks</w:t>
      </w:r>
    </w:p>
    <w:p w14:paraId="58B8BD95" w14:textId="77777777" w:rsidR="00B833C1" w:rsidRDefault="00000000">
      <w:pPr>
        <w:spacing w:before="100" w:after="40"/>
      </w:pPr>
      <w:r>
        <w:rPr>
          <w:b/>
          <w:bCs/>
          <w:color w:val="2E8B7A"/>
          <w:sz w:val="22"/>
          <w:szCs w:val="22"/>
        </w:rPr>
        <w:t>2.  Predominantly Hyperactive-Impulsive Presentation</w:t>
      </w:r>
    </w:p>
    <w:p w14:paraId="424DD40C" w14:textId="77777777" w:rsidR="00B833C1" w:rsidRDefault="00000000">
      <w:pPr>
        <w:spacing w:after="60"/>
        <w:ind w:left="400"/>
      </w:pPr>
      <w:r>
        <w:t>Excess physical or mental restlessness and impulsive behavior — with few inattentive symptoms.</w:t>
      </w:r>
    </w:p>
    <w:p w14:paraId="3ECC9ECF" w14:textId="77777777" w:rsidR="00B833C1" w:rsidRDefault="00000000">
      <w:pPr>
        <w:spacing w:after="30"/>
        <w:ind w:left="400"/>
      </w:pPr>
      <w:r>
        <w:rPr>
          <w:i/>
          <w:iCs/>
        </w:rPr>
        <w:t>Common signs may include:</w:t>
      </w:r>
    </w:p>
    <w:p w14:paraId="4AF54BDB" w14:textId="77777777" w:rsidR="00B833C1" w:rsidRDefault="00000000">
      <w:pPr>
        <w:pStyle w:val="ListParagraph"/>
        <w:numPr>
          <w:ilvl w:val="0"/>
          <w:numId w:val="3"/>
        </w:numPr>
        <w:spacing w:before="40" w:after="40"/>
      </w:pPr>
      <w:r>
        <w:rPr>
          <w:sz w:val="19"/>
          <w:szCs w:val="19"/>
        </w:rPr>
        <w:t>Interrupting conversations, difficulty waiting turns</w:t>
      </w:r>
    </w:p>
    <w:p w14:paraId="3F6BF689" w14:textId="77777777" w:rsidR="00B833C1" w:rsidRDefault="00000000">
      <w:pPr>
        <w:pStyle w:val="ListParagraph"/>
        <w:numPr>
          <w:ilvl w:val="0"/>
          <w:numId w:val="3"/>
        </w:numPr>
        <w:spacing w:before="40" w:after="40"/>
      </w:pPr>
      <w:r>
        <w:rPr>
          <w:sz w:val="19"/>
          <w:szCs w:val="19"/>
        </w:rPr>
        <w:t>Fidgeting, restlessness, difficulty staying seated</w:t>
      </w:r>
    </w:p>
    <w:p w14:paraId="2BDDC7C7" w14:textId="77777777" w:rsidR="00B833C1" w:rsidRDefault="00000000">
      <w:pPr>
        <w:pStyle w:val="ListParagraph"/>
        <w:numPr>
          <w:ilvl w:val="0"/>
          <w:numId w:val="3"/>
        </w:numPr>
        <w:spacing w:before="40" w:after="40"/>
      </w:pPr>
      <w:r>
        <w:rPr>
          <w:sz w:val="19"/>
          <w:szCs w:val="19"/>
        </w:rPr>
        <w:t>Acting before thinking; driven by a sense of urgency</w:t>
      </w:r>
    </w:p>
    <w:p w14:paraId="7645E73F" w14:textId="77777777" w:rsidR="00B833C1" w:rsidRDefault="00000000">
      <w:pPr>
        <w:spacing w:before="100" w:after="40"/>
      </w:pPr>
      <w:r>
        <w:rPr>
          <w:b/>
          <w:bCs/>
          <w:color w:val="2E8B7A"/>
          <w:sz w:val="22"/>
          <w:szCs w:val="22"/>
        </w:rPr>
        <w:t>3.  Combined Presentation</w:t>
      </w:r>
    </w:p>
    <w:p w14:paraId="72C54070" w14:textId="77777777" w:rsidR="00B833C1" w:rsidRDefault="00000000">
      <w:pPr>
        <w:spacing w:after="60"/>
        <w:ind w:left="400"/>
      </w:pPr>
      <w:r>
        <w:t xml:space="preserve">Meets criteria for both inattentive and hyperactive-impulsive presentations. This is the </w:t>
      </w:r>
      <w:proofErr w:type="gramStart"/>
      <w:r>
        <w:t>most commonly diagnosed</w:t>
      </w:r>
      <w:proofErr w:type="gramEnd"/>
      <w:r>
        <w:t xml:space="preserve"> presentation.</w:t>
      </w:r>
    </w:p>
    <w:p w14:paraId="1445FFC0" w14:textId="77777777" w:rsidR="00B833C1" w:rsidRDefault="00B833C1">
      <w:pPr>
        <w:pBdr>
          <w:bottom w:val="single" w:sz="8" w:space="1" w:color="2E8B7A"/>
        </w:pBdr>
        <w:spacing w:before="100" w:after="100"/>
      </w:pPr>
    </w:p>
    <w:p w14:paraId="5C71345A" w14:textId="77777777" w:rsidR="00B833C1" w:rsidRDefault="00000000">
      <w:pPr>
        <w:spacing w:before="220" w:after="80"/>
      </w:pPr>
      <w:r>
        <w:rPr>
          <w:b/>
          <w:bCs/>
          <w:caps/>
          <w:color w:val="1B3A5C"/>
          <w:spacing w:val="40"/>
          <w:sz w:val="24"/>
          <w:szCs w:val="24"/>
        </w:rPr>
        <w:t>How ADHD Presents Differently: Males vs. Females</w:t>
      </w:r>
    </w:p>
    <w:p w14:paraId="7DF24519" w14:textId="77777777" w:rsidR="00B833C1" w:rsidRDefault="00000000">
      <w:pPr>
        <w:spacing w:before="60" w:after="60"/>
      </w:pPr>
      <w:r>
        <w:t>Research increasingly shows that ADHD can look very different across genders — and that females have historically been underdiagnosed or misdiagnosed (Quinn &amp; Madhoo, 2014). Understanding these differences helps faith communities offer more compassionate, accurate support.</w:t>
      </w:r>
    </w:p>
    <w:p w14:paraId="5251B935" w14:textId="77777777" w:rsidR="00B833C1" w:rsidRDefault="00000000">
      <w:pPr>
        <w:spacing w:before="120" w:after="40"/>
      </w:pPr>
      <w:r>
        <w:rPr>
          <w:b/>
          <w:bCs/>
          <w:color w:val="1B3A5C"/>
          <w:sz w:val="21"/>
          <w:szCs w:val="21"/>
        </w:rPr>
        <w:lastRenderedPageBreak/>
        <w:t>Males tend to show:</w:t>
      </w:r>
    </w:p>
    <w:p w14:paraId="243AFA1A" w14:textId="77777777" w:rsidR="00B833C1" w:rsidRDefault="00000000">
      <w:pPr>
        <w:pStyle w:val="ListParagraph"/>
        <w:numPr>
          <w:ilvl w:val="0"/>
          <w:numId w:val="2"/>
        </w:numPr>
        <w:spacing w:before="60" w:after="60"/>
      </w:pPr>
      <w:r>
        <w:t>More externalizing behaviors (hyperactivity, impulsivity, aggression)</w:t>
      </w:r>
    </w:p>
    <w:p w14:paraId="059974BE" w14:textId="77777777" w:rsidR="00B833C1" w:rsidRDefault="00000000">
      <w:pPr>
        <w:pStyle w:val="ListParagraph"/>
        <w:numPr>
          <w:ilvl w:val="0"/>
          <w:numId w:val="2"/>
        </w:numPr>
        <w:spacing w:before="60" w:after="60"/>
      </w:pPr>
      <w:r>
        <w:t>Diagnosed earlier, often in childhood due to disruptive classroom behavior</w:t>
      </w:r>
    </w:p>
    <w:p w14:paraId="6B204076" w14:textId="77777777" w:rsidR="00B833C1" w:rsidRDefault="00000000">
      <w:pPr>
        <w:pStyle w:val="ListParagraph"/>
        <w:numPr>
          <w:ilvl w:val="0"/>
          <w:numId w:val="2"/>
        </w:numPr>
        <w:spacing w:before="60" w:after="60"/>
      </w:pPr>
      <w:r>
        <w:t>Higher rates of the hyperactive-impulsive and combined presentations</w:t>
      </w:r>
    </w:p>
    <w:p w14:paraId="4F55EBD9" w14:textId="77777777" w:rsidR="00B833C1" w:rsidRDefault="00000000">
      <w:pPr>
        <w:spacing w:before="120" w:after="40"/>
      </w:pPr>
      <w:r>
        <w:rPr>
          <w:b/>
          <w:bCs/>
          <w:color w:val="1B3A5C"/>
          <w:sz w:val="21"/>
          <w:szCs w:val="21"/>
        </w:rPr>
        <w:t>Females tend to show:</w:t>
      </w:r>
    </w:p>
    <w:p w14:paraId="2E45BCC6" w14:textId="77777777" w:rsidR="00B833C1" w:rsidRDefault="00000000">
      <w:pPr>
        <w:pStyle w:val="ListParagraph"/>
        <w:numPr>
          <w:ilvl w:val="0"/>
          <w:numId w:val="2"/>
        </w:numPr>
        <w:spacing w:before="60" w:after="60"/>
      </w:pPr>
      <w:r>
        <w:t>More internalizing symptoms: anxiety, depression, low self-esteem, emotional dysregulation</w:t>
      </w:r>
    </w:p>
    <w:p w14:paraId="4467C2B5" w14:textId="77777777" w:rsidR="00B833C1" w:rsidRDefault="00000000">
      <w:pPr>
        <w:pStyle w:val="ListParagraph"/>
        <w:numPr>
          <w:ilvl w:val="0"/>
          <w:numId w:val="2"/>
        </w:numPr>
        <w:spacing w:before="60" w:after="60"/>
      </w:pPr>
      <w:r>
        <w:t>Greater use of masking and compensatory strategies — hiding their struggles to appear “fine”</w:t>
      </w:r>
    </w:p>
    <w:p w14:paraId="5BA57E3B" w14:textId="77777777" w:rsidR="00B833C1" w:rsidRDefault="00000000">
      <w:pPr>
        <w:pStyle w:val="ListParagraph"/>
        <w:numPr>
          <w:ilvl w:val="0"/>
          <w:numId w:val="2"/>
        </w:numPr>
        <w:spacing w:before="60" w:after="60"/>
      </w:pPr>
      <w:r>
        <w:t>Predominantly inattentive presentation — often mistaken for shyness, anxiety, or a personality trait</w:t>
      </w:r>
    </w:p>
    <w:p w14:paraId="76E88D86" w14:textId="77777777" w:rsidR="00B833C1" w:rsidRDefault="00000000">
      <w:pPr>
        <w:pStyle w:val="ListParagraph"/>
        <w:numPr>
          <w:ilvl w:val="0"/>
          <w:numId w:val="2"/>
        </w:numPr>
        <w:spacing w:before="60" w:after="60"/>
      </w:pPr>
      <w:r>
        <w:t>Diagnosed later in life, often in adolescence or adulthood — sometimes after a child is diagnosed</w:t>
      </w:r>
    </w:p>
    <w:p w14:paraId="528A43B1" w14:textId="77777777" w:rsidR="00B833C1" w:rsidRDefault="00000000">
      <w:pPr>
        <w:pStyle w:val="ListParagraph"/>
        <w:numPr>
          <w:ilvl w:val="0"/>
          <w:numId w:val="2"/>
        </w:numPr>
        <w:spacing w:before="60" w:after="60"/>
      </w:pPr>
      <w:r>
        <w:t>Heightened sensitivity to social rejection; more prone to internalized shame</w:t>
      </w:r>
    </w:p>
    <w:p w14:paraId="1D53BA70" w14:textId="77777777" w:rsidR="00B833C1" w:rsidRDefault="00000000">
      <w:pPr>
        <w:spacing w:before="120" w:after="60"/>
      </w:pPr>
      <w:r>
        <w:rPr>
          <w:b/>
          <w:bCs/>
          <w:color w:val="C8952A"/>
        </w:rPr>
        <w:t xml:space="preserve">Important note: </w:t>
      </w:r>
      <w:r>
        <w:t>These patterns describe tendencies across populations, not rules for every individual. ADHD is unique to each person — and each person is worthy of understanding, not judgment.</w:t>
      </w:r>
    </w:p>
    <w:p w14:paraId="30242C10" w14:textId="77777777" w:rsidR="00B833C1" w:rsidRDefault="00B833C1">
      <w:pPr>
        <w:pBdr>
          <w:bottom w:val="single" w:sz="8" w:space="1" w:color="C8952A"/>
        </w:pBdr>
        <w:spacing w:before="100" w:after="100"/>
      </w:pPr>
    </w:p>
    <w:p w14:paraId="76BB1F53" w14:textId="77777777" w:rsidR="00B833C1" w:rsidRDefault="00000000">
      <w:pPr>
        <w:spacing w:before="160" w:after="60"/>
        <w:jc w:val="center"/>
      </w:pPr>
      <w:r>
        <w:rPr>
          <w:b/>
          <w:bCs/>
          <w:color w:val="1B3A5C"/>
          <w:sz w:val="21"/>
          <w:szCs w:val="21"/>
        </w:rPr>
        <w:t>The Society for ADHD and Co-Occurring Conditions</w:t>
      </w:r>
      <w:r>
        <w:t xml:space="preserve"> serves as a bridge between faith </w:t>
      </w:r>
      <w:proofErr w:type="gramStart"/>
      <w:r>
        <w:t>communities</w:t>
      </w:r>
      <w:proofErr w:type="gramEnd"/>
      <w:r>
        <w:t xml:space="preserve"> and the evidence-based resources families need. We are here to equip you.</w:t>
      </w:r>
    </w:p>
    <w:p w14:paraId="03ADB83B" w14:textId="77777777" w:rsidR="00B833C1" w:rsidRDefault="00000000">
      <w:pPr>
        <w:spacing w:before="40" w:after="60"/>
        <w:jc w:val="center"/>
      </w:pPr>
      <w:r>
        <w:rPr>
          <w:sz w:val="19"/>
          <w:szCs w:val="19"/>
        </w:rPr>
        <w:t xml:space="preserve">For resources, training, or speaking inquiries: </w:t>
      </w:r>
      <w:proofErr w:type="gramStart"/>
      <w:r>
        <w:rPr>
          <w:b/>
          <w:bCs/>
          <w:color w:val="2E8B7A"/>
          <w:sz w:val="19"/>
          <w:szCs w:val="19"/>
        </w:rPr>
        <w:t>tmurphy@societyforadhd.org  |</w:t>
      </w:r>
      <w:proofErr w:type="gramEnd"/>
      <w:r>
        <w:rPr>
          <w:b/>
          <w:bCs/>
          <w:color w:val="2E8B7A"/>
          <w:sz w:val="19"/>
          <w:szCs w:val="19"/>
        </w:rPr>
        <w:t xml:space="preserve">  www.societyforadhd.org</w:t>
      </w:r>
    </w:p>
    <w:p w14:paraId="3A815353" w14:textId="77777777" w:rsidR="00B833C1" w:rsidRDefault="00000000">
      <w:pPr>
        <w:spacing w:before="60"/>
        <w:jc w:val="center"/>
      </w:pPr>
      <w:r>
        <w:rPr>
          <w:i/>
          <w:iCs/>
          <w:sz w:val="16"/>
          <w:szCs w:val="16"/>
        </w:rPr>
        <w:t>References available upon request. All content is science-backed and evidence-based.</w:t>
      </w:r>
    </w:p>
    <w:sectPr w:rsidR="00B833C1">
      <w:headerReference w:type="default" r:id="rId7"/>
      <w:footerReference w:type="default" r:id="rId8"/>
      <w:pgSz w:w="12240" w:h="15840"/>
      <w:pgMar w:top="1080" w:right="1080" w:bottom="1080" w:left="108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9C8F4D" w14:textId="77777777" w:rsidR="004E48ED" w:rsidRDefault="004E48ED">
      <w:r>
        <w:separator/>
      </w:r>
    </w:p>
  </w:endnote>
  <w:endnote w:type="continuationSeparator" w:id="0">
    <w:p w14:paraId="4B4E085E" w14:textId="77777777" w:rsidR="004E48ED" w:rsidRDefault="004E4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D0D604" w14:textId="77777777" w:rsidR="00B833C1" w:rsidRDefault="00000000">
    <w:pPr>
      <w:pBdr>
        <w:top w:val="single" w:sz="8" w:space="2" w:color="2E8B7A"/>
      </w:pBdr>
      <w:tabs>
        <w:tab w:val="right" w:pos="9026"/>
      </w:tabs>
      <w:spacing w:before="80"/>
    </w:pPr>
    <w:proofErr w:type="gramStart"/>
    <w:r>
      <w:rPr>
        <w:color w:val="1B3A5C"/>
        <w:sz w:val="16"/>
        <w:szCs w:val="16"/>
      </w:rPr>
      <w:t>www.societyforadhd.org  |</w:t>
    </w:r>
    <w:proofErr w:type="gramEnd"/>
    <w:r>
      <w:rPr>
        <w:color w:val="1B3A5C"/>
        <w:sz w:val="16"/>
        <w:szCs w:val="16"/>
      </w:rPr>
      <w:t xml:space="preserve">  info@societyforadhd.org</w:t>
    </w:r>
    <w:r>
      <w:rPr>
        <w:sz w:val="14"/>
        <w:szCs w:val="14"/>
      </w:rPr>
      <w:tab/>
      <w:t>© 2025 The Society for ADHD and Co-Occurring Conditions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C00777" w14:textId="77777777" w:rsidR="004E48ED" w:rsidRDefault="004E48ED">
      <w:r>
        <w:separator/>
      </w:r>
    </w:p>
  </w:footnote>
  <w:footnote w:type="continuationSeparator" w:id="0">
    <w:p w14:paraId="55666DEB" w14:textId="77777777" w:rsidR="004E48ED" w:rsidRDefault="004E48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37B621" w14:textId="77777777" w:rsidR="00B833C1" w:rsidRDefault="00000000">
    <w:pPr>
      <w:pBdr>
        <w:bottom w:val="single" w:sz="12" w:space="2" w:color="2E8B7A"/>
      </w:pBdr>
      <w:spacing w:after="100"/>
    </w:pPr>
    <w:r>
      <w:rPr>
        <w:b/>
        <w:bCs/>
        <w:caps/>
        <w:color w:val="1B3A5C"/>
        <w:spacing w:val="30"/>
        <w:sz w:val="18"/>
        <w:szCs w:val="18"/>
      </w:rPr>
      <w:t>THE SOCIETY FOR ADHD AND CO-OCCURRING CONDITIONS</w:t>
    </w:r>
    <w:r>
      <w:rPr>
        <w:color w:val="2E8B7A"/>
        <w:sz w:val="16"/>
        <w:szCs w:val="16"/>
      </w:rPr>
      <w:t xml:space="preserve">   |   Faith-Informed. Community-Rooted. Science-Backed.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C750D3"/>
    <w:multiLevelType w:val="hybridMultilevel"/>
    <w:tmpl w:val="FC6671BE"/>
    <w:lvl w:ilvl="0" w:tplc="27D69AC2">
      <w:start w:val="1"/>
      <w:numFmt w:val="bullet"/>
      <w:lvlText w:val="●"/>
      <w:lvlJc w:val="left"/>
      <w:pPr>
        <w:ind w:left="560" w:hanging="300"/>
      </w:pPr>
      <w:rPr>
        <w:rFonts w:ascii="Arial" w:eastAsia="Arial" w:hAnsi="Arial" w:cs="Arial"/>
        <w:color w:val="2E8B7A"/>
        <w:sz w:val="18"/>
        <w:szCs w:val="18"/>
      </w:rPr>
    </w:lvl>
    <w:lvl w:ilvl="1" w:tplc="80F6E396">
      <w:numFmt w:val="decimal"/>
      <w:lvlText w:val=""/>
      <w:lvlJc w:val="left"/>
    </w:lvl>
    <w:lvl w:ilvl="2" w:tplc="9FF025E4">
      <w:numFmt w:val="decimal"/>
      <w:lvlText w:val=""/>
      <w:lvlJc w:val="left"/>
    </w:lvl>
    <w:lvl w:ilvl="3" w:tplc="DF626F70">
      <w:numFmt w:val="decimal"/>
      <w:lvlText w:val=""/>
      <w:lvlJc w:val="left"/>
    </w:lvl>
    <w:lvl w:ilvl="4" w:tplc="7B701A08">
      <w:numFmt w:val="decimal"/>
      <w:lvlText w:val=""/>
      <w:lvlJc w:val="left"/>
    </w:lvl>
    <w:lvl w:ilvl="5" w:tplc="0CA2E8C8">
      <w:numFmt w:val="decimal"/>
      <w:lvlText w:val=""/>
      <w:lvlJc w:val="left"/>
    </w:lvl>
    <w:lvl w:ilvl="6" w:tplc="D5747ECE">
      <w:numFmt w:val="decimal"/>
      <w:lvlText w:val=""/>
      <w:lvlJc w:val="left"/>
    </w:lvl>
    <w:lvl w:ilvl="7" w:tplc="2CF8A15A">
      <w:numFmt w:val="decimal"/>
      <w:lvlText w:val=""/>
      <w:lvlJc w:val="left"/>
    </w:lvl>
    <w:lvl w:ilvl="8" w:tplc="A16E7F4E">
      <w:numFmt w:val="decimal"/>
      <w:lvlText w:val=""/>
      <w:lvlJc w:val="left"/>
    </w:lvl>
  </w:abstractNum>
  <w:abstractNum w:abstractNumId="1" w15:restartNumberingAfterBreak="0">
    <w:nsid w:val="212F3A17"/>
    <w:multiLevelType w:val="hybridMultilevel"/>
    <w:tmpl w:val="80A236EC"/>
    <w:lvl w:ilvl="0" w:tplc="8BD62322">
      <w:start w:val="1"/>
      <w:numFmt w:val="bullet"/>
      <w:lvlText w:val="○"/>
      <w:lvlJc w:val="left"/>
      <w:pPr>
        <w:ind w:left="900" w:hanging="300"/>
      </w:pPr>
      <w:rPr>
        <w:rFonts w:ascii="Arial" w:eastAsia="Arial" w:hAnsi="Arial" w:cs="Arial"/>
        <w:color w:val="C8952A"/>
        <w:sz w:val="16"/>
        <w:szCs w:val="16"/>
      </w:rPr>
    </w:lvl>
    <w:lvl w:ilvl="1" w:tplc="14788FF4">
      <w:numFmt w:val="decimal"/>
      <w:lvlText w:val=""/>
      <w:lvlJc w:val="left"/>
    </w:lvl>
    <w:lvl w:ilvl="2" w:tplc="2F6E09BC">
      <w:numFmt w:val="decimal"/>
      <w:lvlText w:val=""/>
      <w:lvlJc w:val="left"/>
    </w:lvl>
    <w:lvl w:ilvl="3" w:tplc="BE600652">
      <w:numFmt w:val="decimal"/>
      <w:lvlText w:val=""/>
      <w:lvlJc w:val="left"/>
    </w:lvl>
    <w:lvl w:ilvl="4" w:tplc="D512D112">
      <w:numFmt w:val="decimal"/>
      <w:lvlText w:val=""/>
      <w:lvlJc w:val="left"/>
    </w:lvl>
    <w:lvl w:ilvl="5" w:tplc="14EAA9D4">
      <w:numFmt w:val="decimal"/>
      <w:lvlText w:val=""/>
      <w:lvlJc w:val="left"/>
    </w:lvl>
    <w:lvl w:ilvl="6" w:tplc="D9C2880C">
      <w:numFmt w:val="decimal"/>
      <w:lvlText w:val=""/>
      <w:lvlJc w:val="left"/>
    </w:lvl>
    <w:lvl w:ilvl="7" w:tplc="A1BE95FE">
      <w:numFmt w:val="decimal"/>
      <w:lvlText w:val=""/>
      <w:lvlJc w:val="left"/>
    </w:lvl>
    <w:lvl w:ilvl="8" w:tplc="BADE77EC">
      <w:numFmt w:val="decimal"/>
      <w:lvlText w:val=""/>
      <w:lvlJc w:val="left"/>
    </w:lvl>
  </w:abstractNum>
  <w:abstractNum w:abstractNumId="2" w15:restartNumberingAfterBreak="0">
    <w:nsid w:val="415F0F51"/>
    <w:multiLevelType w:val="hybridMultilevel"/>
    <w:tmpl w:val="9DB004A8"/>
    <w:lvl w:ilvl="0" w:tplc="140EADC0">
      <w:start w:val="1"/>
      <w:numFmt w:val="bullet"/>
      <w:lvlText w:val="●"/>
      <w:lvlJc w:val="left"/>
      <w:pPr>
        <w:ind w:left="720" w:hanging="360"/>
      </w:pPr>
    </w:lvl>
    <w:lvl w:ilvl="1" w:tplc="1E062C4A">
      <w:start w:val="1"/>
      <w:numFmt w:val="bullet"/>
      <w:lvlText w:val="○"/>
      <w:lvlJc w:val="left"/>
      <w:pPr>
        <w:ind w:left="1440" w:hanging="360"/>
      </w:pPr>
    </w:lvl>
    <w:lvl w:ilvl="2" w:tplc="5D061DAE">
      <w:start w:val="1"/>
      <w:numFmt w:val="bullet"/>
      <w:lvlText w:val="■"/>
      <w:lvlJc w:val="left"/>
      <w:pPr>
        <w:ind w:left="2160" w:hanging="360"/>
      </w:pPr>
    </w:lvl>
    <w:lvl w:ilvl="3" w:tplc="222EB67A">
      <w:start w:val="1"/>
      <w:numFmt w:val="bullet"/>
      <w:lvlText w:val="●"/>
      <w:lvlJc w:val="left"/>
      <w:pPr>
        <w:ind w:left="2880" w:hanging="360"/>
      </w:pPr>
    </w:lvl>
    <w:lvl w:ilvl="4" w:tplc="E2440AF8">
      <w:start w:val="1"/>
      <w:numFmt w:val="bullet"/>
      <w:lvlText w:val="○"/>
      <w:lvlJc w:val="left"/>
      <w:pPr>
        <w:ind w:left="3600" w:hanging="360"/>
      </w:pPr>
    </w:lvl>
    <w:lvl w:ilvl="5" w:tplc="2724171A">
      <w:start w:val="1"/>
      <w:numFmt w:val="bullet"/>
      <w:lvlText w:val="■"/>
      <w:lvlJc w:val="left"/>
      <w:pPr>
        <w:ind w:left="4320" w:hanging="360"/>
      </w:pPr>
    </w:lvl>
    <w:lvl w:ilvl="6" w:tplc="A18C1A34">
      <w:start w:val="1"/>
      <w:numFmt w:val="bullet"/>
      <w:lvlText w:val="●"/>
      <w:lvlJc w:val="left"/>
      <w:pPr>
        <w:ind w:left="5040" w:hanging="360"/>
      </w:pPr>
    </w:lvl>
    <w:lvl w:ilvl="7" w:tplc="C382FC46">
      <w:start w:val="1"/>
      <w:numFmt w:val="bullet"/>
      <w:lvlText w:val="●"/>
      <w:lvlJc w:val="left"/>
      <w:pPr>
        <w:ind w:left="5760" w:hanging="360"/>
      </w:pPr>
    </w:lvl>
    <w:lvl w:ilvl="8" w:tplc="AAB097C6">
      <w:start w:val="1"/>
      <w:numFmt w:val="bullet"/>
      <w:lvlText w:val="●"/>
      <w:lvlJc w:val="left"/>
      <w:pPr>
        <w:ind w:left="6480" w:hanging="360"/>
      </w:pPr>
    </w:lvl>
  </w:abstractNum>
  <w:num w:numId="1" w16cid:durableId="1070150723">
    <w:abstractNumId w:val="2"/>
    <w:lvlOverride w:ilvl="0">
      <w:startOverride w:val="1"/>
    </w:lvlOverride>
  </w:num>
  <w:num w:numId="2" w16cid:durableId="776682807">
    <w:abstractNumId w:val="0"/>
    <w:lvlOverride w:ilvl="0">
      <w:startOverride w:val="1"/>
    </w:lvlOverride>
  </w:num>
  <w:num w:numId="3" w16cid:durableId="15136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3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33C1"/>
    <w:rsid w:val="004E48ED"/>
    <w:rsid w:val="00B833C1"/>
    <w:rsid w:val="00DA59CF"/>
    <w:rsid w:val="00F04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3C63F77"/>
  <w15:docId w15:val="{75151115-F900-AE41-9E5B-CF91F76A7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5A5A5A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522</Words>
  <Characters>3338</Characters>
  <Application>Microsoft Office Word</Application>
  <DocSecurity>0</DocSecurity>
  <Lines>60</Lines>
  <Paragraphs>41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Tanya Murphy</cp:lastModifiedBy>
  <cp:revision>2</cp:revision>
  <dcterms:created xsi:type="dcterms:W3CDTF">2026-04-01T19:48:00Z</dcterms:created>
  <dcterms:modified xsi:type="dcterms:W3CDTF">2026-04-01T19:48:00Z</dcterms:modified>
</cp:coreProperties>
</file>